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BD7A40" w:rsidRPr="000324E2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:rsidR="00BD7A40" w:rsidRPr="000324E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1.1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:rsidR="00BD7A40" w:rsidRPr="000324E2" w:rsidRDefault="005004C2" w:rsidP="003F7D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4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BIOXY FOAM </w:t>
            </w:r>
            <w:r w:rsidR="005F3B4B" w:rsidRPr="005F3B4B">
              <w:rPr>
                <w:rFonts w:ascii="Times New Roman" w:hAnsi="Times New Roman" w:cs="Times New Roman"/>
                <w:b/>
                <w:sz w:val="20"/>
                <w:szCs w:val="20"/>
              </w:rPr>
              <w:t>BASE</w:t>
            </w:r>
          </w:p>
        </w:tc>
      </w:tr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:rsidR="00BD7A40" w:rsidRPr="000324E2" w:rsidRDefault="008D43BC" w:rsidP="00586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Neuvedeno </w:t>
            </w:r>
          </w:p>
        </w:tc>
      </w:tr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:rsidR="00BD7A40" w:rsidRPr="000324E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1.2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:rsidR="000E58EF" w:rsidRPr="000324E2" w:rsidRDefault="000E58EF" w:rsidP="000E58EF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F5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Biocidní přípravek. Dezinfekce pro vemena dojnic.</w:t>
            </w:r>
          </w:p>
          <w:p w:rsidR="001D53AD" w:rsidRPr="000324E2" w:rsidRDefault="00882A24" w:rsidP="00CA1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Určeno pro </w:t>
            </w:r>
            <w:r w:rsidR="000C13E0"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>profesionální</w:t>
            </w:r>
            <w:r w:rsidR="00BD7A40"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použití.</w:t>
            </w:r>
          </w:p>
        </w:tc>
      </w:tr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:rsidR="00AE029F" w:rsidRPr="000324E2" w:rsidRDefault="00AE029F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>Všechny způsoby použití, které nejsou výslovně uvedené na etiketě.</w:t>
            </w:r>
          </w:p>
        </w:tc>
      </w:tr>
    </w:tbl>
    <w:p w:rsidR="00BD7A40" w:rsidRPr="000324E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1.3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6401EE" w:rsidRPr="000324E2" w:rsidTr="00317948">
        <w:tc>
          <w:tcPr>
            <w:tcW w:w="3261" w:type="dxa"/>
          </w:tcPr>
          <w:p w:rsidR="006401EE" w:rsidRPr="000324E2" w:rsidRDefault="006401EE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Výrobce: </w:t>
            </w:r>
          </w:p>
        </w:tc>
        <w:tc>
          <w:tcPr>
            <w:tcW w:w="5811" w:type="dxa"/>
          </w:tcPr>
          <w:p w:rsidR="006401EE" w:rsidRPr="008D43BC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>KLARECO S.R.L.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6401EE" w:rsidRPr="001C34F3" w:rsidRDefault="006401EE" w:rsidP="005D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Via </w:t>
            </w:r>
            <w:proofErr w:type="spellStart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Bellisario</w:t>
            </w:r>
            <w:proofErr w:type="spellEnd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 31, 26020 </w:t>
            </w:r>
            <w:proofErr w:type="spellStart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Palazzo</w:t>
            </w:r>
            <w:proofErr w:type="spellEnd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Pignano</w:t>
            </w:r>
            <w:proofErr w:type="spellEnd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 (CR), Itálie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</w:tcPr>
          <w:p w:rsidR="006401EE" w:rsidRPr="001C34F3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+39 0373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1974449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</w:tc>
        <w:tc>
          <w:tcPr>
            <w:tcW w:w="5811" w:type="dxa"/>
          </w:tcPr>
          <w:p w:rsidR="006401EE" w:rsidRPr="001C34F3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+39 0373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1972082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6401EE" w:rsidRPr="001C34F3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>safety@klareco.com</w:t>
            </w:r>
          </w:p>
        </w:tc>
      </w:tr>
      <w:tr w:rsidR="0082194C" w:rsidRPr="000324E2" w:rsidTr="00317948">
        <w:tc>
          <w:tcPr>
            <w:tcW w:w="3261" w:type="dxa"/>
          </w:tcPr>
          <w:p w:rsidR="0082194C" w:rsidRPr="006D03A3" w:rsidRDefault="0082194C" w:rsidP="008219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Dodavatel:</w:t>
            </w:r>
          </w:p>
        </w:tc>
        <w:tc>
          <w:tcPr>
            <w:tcW w:w="5811" w:type="dxa"/>
          </w:tcPr>
          <w:p w:rsidR="0082194C" w:rsidRPr="006D03A3" w:rsidRDefault="0082194C" w:rsidP="00821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Odra Invest</w:t>
            </w:r>
            <w:r w:rsidRPr="006D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82194C" w:rsidRPr="000324E2" w:rsidTr="00317948">
        <w:tc>
          <w:tcPr>
            <w:tcW w:w="3261" w:type="dxa"/>
          </w:tcPr>
          <w:p w:rsidR="0082194C" w:rsidRPr="006D03A3" w:rsidRDefault="0082194C" w:rsidP="008219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82194C" w:rsidRPr="006D03A3" w:rsidRDefault="0082194C" w:rsidP="00821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Staroveská 406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 24 Krmelín</w:t>
            </w:r>
          </w:p>
        </w:tc>
      </w:tr>
      <w:tr w:rsidR="0082194C" w:rsidRPr="000324E2" w:rsidTr="00317948">
        <w:tc>
          <w:tcPr>
            <w:tcW w:w="3261" w:type="dxa"/>
          </w:tcPr>
          <w:p w:rsidR="0082194C" w:rsidRPr="006D03A3" w:rsidRDefault="0082194C" w:rsidP="008219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</w:tcPr>
          <w:p w:rsidR="0082194C" w:rsidRPr="006D03A3" w:rsidRDefault="0082194C" w:rsidP="008219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26791277</w:t>
            </w:r>
          </w:p>
        </w:tc>
      </w:tr>
      <w:tr w:rsidR="0082194C" w:rsidRPr="000324E2" w:rsidTr="00317948">
        <w:tc>
          <w:tcPr>
            <w:tcW w:w="3261" w:type="dxa"/>
          </w:tcPr>
          <w:p w:rsidR="0082194C" w:rsidRPr="006D03A3" w:rsidRDefault="0082194C" w:rsidP="008219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82194C" w:rsidRPr="006D03A3" w:rsidRDefault="0082194C" w:rsidP="008219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odrainvest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.cz</w:t>
            </w:r>
          </w:p>
        </w:tc>
        <w:bookmarkStart w:id="0" w:name="_GoBack"/>
        <w:bookmarkEnd w:id="0"/>
      </w:tr>
      <w:tr w:rsidR="008D43BC" w:rsidRPr="000324E2" w:rsidTr="00317948">
        <w:tc>
          <w:tcPr>
            <w:tcW w:w="3261" w:type="dxa"/>
          </w:tcPr>
          <w:p w:rsidR="008D43BC" w:rsidRPr="000324E2" w:rsidRDefault="008D43BC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 w:rsidRPr="000324E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 w:rsidRPr="000324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odpovědné za vypracování </w:t>
            </w:r>
            <w:proofErr w:type="spellStart"/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bezp</w:t>
            </w:r>
            <w:proofErr w:type="spellEnd"/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. listu:</w:t>
            </w:r>
          </w:p>
        </w:tc>
        <w:tc>
          <w:tcPr>
            <w:tcW w:w="5811" w:type="dxa"/>
          </w:tcPr>
          <w:p w:rsidR="008D43BC" w:rsidRPr="000324E2" w:rsidRDefault="008D43BC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3BC" w:rsidRPr="000324E2" w:rsidRDefault="008D43BC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info@infobl.cz</w:t>
            </w:r>
          </w:p>
        </w:tc>
      </w:tr>
    </w:tbl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1.4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Telefonní číslo pro naléhavé situace </w:t>
      </w:r>
    </w:p>
    <w:p w:rsidR="0040090F" w:rsidRPr="000324E2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Toxikologické informační středisko</w:t>
      </w:r>
    </w:p>
    <w:p w:rsidR="00BD7A40" w:rsidRPr="000324E2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Klinika pracovního lékařství VFN a 1. LF UK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>, Na Bojišti 1, 12</w:t>
      </w:r>
      <w:r w:rsidRPr="000324E2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 xml:space="preserve"> 0</w:t>
      </w:r>
      <w:r w:rsidRPr="000324E2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 xml:space="preserve"> Praha 2, CZ</w:t>
      </w:r>
    </w:p>
    <w:p w:rsidR="003F48AD" w:rsidRPr="000324E2" w:rsidRDefault="003F48AD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24E2">
        <w:rPr>
          <w:rFonts w:ascii="Times New Roman" w:hAnsi="Times New Roman" w:cs="Times New Roman"/>
          <w:b/>
          <w:sz w:val="20"/>
          <w:szCs w:val="20"/>
        </w:rPr>
        <w:t>+420 224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> </w:t>
      </w:r>
      <w:r w:rsidRPr="000324E2">
        <w:rPr>
          <w:rFonts w:ascii="Times New Roman" w:hAnsi="Times New Roman" w:cs="Times New Roman"/>
          <w:b/>
          <w:sz w:val="20"/>
          <w:szCs w:val="20"/>
        </w:rPr>
        <w:t>919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b/>
          <w:sz w:val="20"/>
          <w:szCs w:val="20"/>
        </w:rPr>
        <w:t>293; 224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> </w:t>
      </w:r>
      <w:r w:rsidRPr="000324E2">
        <w:rPr>
          <w:rFonts w:ascii="Times New Roman" w:hAnsi="Times New Roman" w:cs="Times New Roman"/>
          <w:b/>
          <w:sz w:val="20"/>
          <w:szCs w:val="20"/>
        </w:rPr>
        <w:t>915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b/>
          <w:sz w:val="20"/>
          <w:szCs w:val="20"/>
        </w:rPr>
        <w:t xml:space="preserve">402 (nepřetržitá služba)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BD7A40" w:rsidRPr="000324E2" w:rsidRDefault="00BD7A40" w:rsidP="002A23B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</w:rPr>
        <w:t>2.1</w:t>
      </w:r>
      <w:r w:rsidR="00CE7AAF" w:rsidRPr="000324E2">
        <w:rPr>
          <w:rFonts w:ascii="Times New Roman" w:hAnsi="Times New Roman" w:cs="Times New Roman"/>
          <w:b/>
        </w:rPr>
        <w:t>.</w:t>
      </w:r>
      <w:r w:rsidR="002A23B3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K</w:t>
      </w:r>
      <w:r w:rsidRPr="000324E2">
        <w:rPr>
          <w:rFonts w:ascii="Times New Roman" w:hAnsi="Times New Roman" w:cs="Times New Roman"/>
          <w:b/>
          <w:bCs/>
        </w:rPr>
        <w:t xml:space="preserve">lasifikace látky nebo směsi </w:t>
      </w:r>
    </w:p>
    <w:p w:rsidR="005233EB" w:rsidRPr="000324E2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:rsidR="005F3B4B" w:rsidRPr="00444903" w:rsidRDefault="005F3B4B" w:rsidP="005F3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444903">
        <w:rPr>
          <w:rFonts w:ascii="Times New Roman" w:hAnsi="Times New Roman" w:cs="Times New Roman"/>
          <w:b/>
          <w:iCs/>
          <w:sz w:val="20"/>
          <w:szCs w:val="20"/>
        </w:rPr>
        <w:t xml:space="preserve">Skin </w:t>
      </w:r>
      <w:proofErr w:type="spellStart"/>
      <w:r w:rsidRPr="00444903">
        <w:rPr>
          <w:rFonts w:ascii="Times New Roman" w:hAnsi="Times New Roman" w:cs="Times New Roman"/>
          <w:b/>
          <w:iCs/>
          <w:sz w:val="20"/>
          <w:szCs w:val="20"/>
        </w:rPr>
        <w:t>Irrit</w:t>
      </w:r>
      <w:proofErr w:type="spellEnd"/>
      <w:r w:rsidRPr="00444903">
        <w:rPr>
          <w:rFonts w:ascii="Times New Roman" w:hAnsi="Times New Roman" w:cs="Times New Roman"/>
          <w:b/>
          <w:iCs/>
          <w:sz w:val="20"/>
          <w:szCs w:val="20"/>
        </w:rPr>
        <w:t>. 2; H315</w:t>
      </w:r>
    </w:p>
    <w:p w:rsidR="005004C2" w:rsidRPr="001C34F3" w:rsidRDefault="005004C2" w:rsidP="005004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C34F3">
        <w:rPr>
          <w:rFonts w:ascii="Times New Roman" w:hAnsi="Times New Roman" w:cs="Times New Roman"/>
          <w:b/>
          <w:bCs/>
          <w:sz w:val="20"/>
          <w:szCs w:val="20"/>
        </w:rPr>
        <w:t>Eye</w:t>
      </w:r>
      <w:proofErr w:type="spellEnd"/>
      <w:r w:rsidRPr="001C34F3">
        <w:rPr>
          <w:rFonts w:ascii="Times New Roman" w:hAnsi="Times New Roman" w:cs="Times New Roman"/>
          <w:b/>
          <w:bCs/>
          <w:sz w:val="20"/>
          <w:szCs w:val="20"/>
        </w:rPr>
        <w:t xml:space="preserve"> Dam. 1; H318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Směs </w:t>
      </w:r>
      <w:r w:rsidR="005004C2">
        <w:rPr>
          <w:rFonts w:ascii="Times New Roman" w:hAnsi="Times New Roman" w:cs="Times New Roman"/>
          <w:bCs/>
          <w:sz w:val="20"/>
          <w:szCs w:val="20"/>
        </w:rPr>
        <w:t xml:space="preserve">je </w:t>
      </w:r>
      <w:r w:rsidRPr="000324E2">
        <w:rPr>
          <w:rFonts w:ascii="Times New Roman" w:hAnsi="Times New Roman" w:cs="Times New Roman"/>
          <w:bCs/>
          <w:sz w:val="20"/>
          <w:szCs w:val="20"/>
        </w:rPr>
        <w:t>klasifikována jako nebezpečná ve smyslu nařízení (ES) č. 1272/2008</w:t>
      </w:r>
    </w:p>
    <w:p w:rsidR="00BD7A40" w:rsidRPr="000324E2" w:rsidRDefault="00BD7A40" w:rsidP="000416AF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:rsidR="005004C2" w:rsidRDefault="005F3B4B" w:rsidP="00585D3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44903">
        <w:rPr>
          <w:rFonts w:ascii="Times New Roman" w:hAnsi="Times New Roman" w:cs="Times New Roman"/>
          <w:iCs/>
          <w:sz w:val="20"/>
          <w:szCs w:val="20"/>
        </w:rPr>
        <w:t>Dráždí kůži.</w:t>
      </w:r>
      <w:r w:rsidR="005004C2" w:rsidRPr="001C34F3">
        <w:rPr>
          <w:rFonts w:ascii="Times New Roman" w:hAnsi="Times New Roman" w:cs="Times New Roman"/>
          <w:sz w:val="20"/>
          <w:szCs w:val="20"/>
        </w:rPr>
        <w:t xml:space="preserve"> Způsobuje vážné poškození očí.</w:t>
      </w:r>
    </w:p>
    <w:p w:rsidR="005004C2" w:rsidRPr="00444903" w:rsidRDefault="005004C2" w:rsidP="005004C2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44903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2.2</w:t>
      </w:r>
      <w:r w:rsidR="00CE7AAF" w:rsidRPr="000324E2">
        <w:rPr>
          <w:rFonts w:ascii="Times New Roman" w:hAnsi="Times New Roman" w:cs="Times New Roman"/>
          <w:b/>
          <w:bCs/>
        </w:rPr>
        <w:t>.</w:t>
      </w:r>
      <w:r w:rsidR="002A23B3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Prvky označení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Označení </w:t>
      </w:r>
      <w:r w:rsidRPr="000324E2">
        <w:rPr>
          <w:rFonts w:ascii="Times New Roman" w:hAnsi="Times New Roman" w:cs="Times New Roman"/>
          <w:sz w:val="20"/>
          <w:szCs w:val="20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8"/>
        <w:gridCol w:w="6011"/>
      </w:tblGrid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0324E2" w:rsidRDefault="005004C2" w:rsidP="003F7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4C2">
              <w:rPr>
                <w:rFonts w:ascii="Times New Roman" w:hAnsi="Times New Roman" w:cs="Times New Roman"/>
                <w:sz w:val="20"/>
                <w:szCs w:val="20"/>
              </w:rPr>
              <w:t xml:space="preserve">BIOXY FOAM </w:t>
            </w:r>
            <w:r w:rsidR="005F3B4B" w:rsidRPr="005F3B4B">
              <w:rPr>
                <w:rFonts w:ascii="Times New Roman" w:hAnsi="Times New Roman" w:cs="Times New Roman"/>
                <w:sz w:val="20"/>
                <w:szCs w:val="20"/>
              </w:rPr>
              <w:t>BASE</w:t>
            </w:r>
          </w:p>
        </w:tc>
      </w:tr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Identifikační číslo</w:t>
            </w:r>
            <w:r w:rsidR="003F48AD" w:rsidRPr="000324E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0324E2" w:rsidRDefault="005F3B4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L-(+)-mléčná kyselina</w:t>
            </w:r>
          </w:p>
        </w:tc>
      </w:tr>
      <w:tr w:rsidR="005004C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4C2" w:rsidRPr="000324E2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1C34F3" w:rsidRDefault="005004C2" w:rsidP="005004C2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67B515D7" wp14:editId="2913D33E">
                  <wp:extent cx="838200" cy="838200"/>
                  <wp:effectExtent l="0" t="0" r="0" b="0"/>
                  <wp:docPr id="10" name="Obrázek 10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4C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4C2" w:rsidRPr="000324E2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1C34F3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Nebezpečí </w:t>
            </w:r>
          </w:p>
        </w:tc>
      </w:tr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F3B4B" w:rsidRPr="00444903" w:rsidRDefault="005F3B4B" w:rsidP="005F3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903">
              <w:rPr>
                <w:rFonts w:ascii="Times New Roman" w:hAnsi="Times New Roman" w:cs="Times New Roman"/>
                <w:sz w:val="20"/>
                <w:szCs w:val="20"/>
              </w:rPr>
              <w:t>H315 Dráždí kůži.</w:t>
            </w:r>
          </w:p>
          <w:p w:rsidR="00BD7A40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H318 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Způsobuje vážné poškození očí.</w:t>
            </w:r>
          </w:p>
          <w:p w:rsidR="005F3B4B" w:rsidRPr="005F3B4B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EUH071</w:t>
            </w:r>
            <w:r>
              <w:t xml:space="preserve"> </w:t>
            </w: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Způsobuje poleptání dýchacích cest.</w:t>
            </w:r>
          </w:p>
        </w:tc>
      </w:tr>
      <w:tr w:rsidR="000324E2" w:rsidRPr="00CE631E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CE631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sz w:val="20"/>
                <w:szCs w:val="20"/>
              </w:rPr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F3B4B" w:rsidRPr="008D43BC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bCs/>
                <w:sz w:val="20"/>
                <w:szCs w:val="20"/>
              </w:rPr>
              <w:t>P235</w:t>
            </w: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 xml:space="preserve"> Uchovávejte v chladu.</w:t>
            </w:r>
          </w:p>
          <w:p w:rsidR="005004C2" w:rsidRPr="00CE631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bCs/>
                <w:sz w:val="20"/>
                <w:szCs w:val="20"/>
              </w:rPr>
              <w:t>P280</w:t>
            </w:r>
            <w:r w:rsidRPr="00CE631E">
              <w:rPr>
                <w:rFonts w:ascii="Times New Roman" w:hAnsi="Times New Roman" w:cs="Times New Roman"/>
                <w:sz w:val="20"/>
                <w:szCs w:val="20"/>
              </w:rPr>
              <w:t xml:space="preserve"> Používejte ochranné brýle/obličejový štít.</w:t>
            </w:r>
          </w:p>
          <w:p w:rsidR="005004C2" w:rsidRPr="00CE631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P305 + P351 + P338 PŘI ZASAŽENÍ OČÍ: Několik minut opatrně vyplachujte vodou. Vyjměte kontaktní čočky, jsou-li nasazeny a pokud je lze vyjmout snadno. Pokračujte ve vyplachování.</w:t>
            </w:r>
          </w:p>
          <w:p w:rsidR="005F3B4B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P314</w:t>
            </w:r>
            <w:r>
              <w:t xml:space="preserve"> </w:t>
            </w: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Necítíte-li se dobře, vyhledejte lékařskou pomoc/ošetření.</w:t>
            </w:r>
          </w:p>
          <w:p w:rsidR="005F3B4B" w:rsidRPr="00CE631E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bCs/>
                <w:sz w:val="20"/>
                <w:szCs w:val="20"/>
              </w:rPr>
              <w:t>P410</w:t>
            </w: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 xml:space="preserve"> Chraňte před slunečním zářením.</w:t>
            </w:r>
          </w:p>
        </w:tc>
      </w:tr>
      <w:tr w:rsidR="000324E2" w:rsidRPr="00CE631E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CE631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Doplňující informace na štítku: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CE631E" w:rsidRDefault="005004C2" w:rsidP="008D43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E631E">
        <w:rPr>
          <w:rFonts w:ascii="Times New Roman" w:hAnsi="Times New Roman" w:cs="Times New Roman"/>
          <w:b/>
          <w:bCs/>
        </w:rPr>
        <w:t>2.3</w:t>
      </w:r>
      <w:r w:rsidR="00CE7AAF" w:rsidRPr="00CE631E">
        <w:rPr>
          <w:rFonts w:ascii="Times New Roman" w:hAnsi="Times New Roman" w:cs="Times New Roman"/>
          <w:b/>
          <w:bCs/>
        </w:rPr>
        <w:t>.</w:t>
      </w:r>
      <w:r w:rsidRPr="00CE631E">
        <w:rPr>
          <w:rFonts w:ascii="Times New Roman" w:hAnsi="Times New Roman" w:cs="Times New Roman"/>
          <w:b/>
          <w:bCs/>
        </w:rPr>
        <w:t xml:space="preserve"> Další nebezpečnost</w:t>
      </w:r>
    </w:p>
    <w:p w:rsidR="008D43BC" w:rsidRPr="00F137C4" w:rsidRDefault="008D43BC" w:rsidP="000724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základě dostupných </w:t>
      </w:r>
      <w:r w:rsidRPr="008D43BC">
        <w:rPr>
          <w:rFonts w:ascii="Times New Roman" w:hAnsi="Times New Roman" w:cs="Times New Roman"/>
          <w:sz w:val="20"/>
          <w:szCs w:val="20"/>
        </w:rPr>
        <w:t xml:space="preserve">údajů produkt neobsahuje látky PBT, </w:t>
      </w:r>
      <w:proofErr w:type="spellStart"/>
      <w:r w:rsidRPr="008D43BC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8D43BC">
        <w:rPr>
          <w:rFonts w:ascii="Times New Roman" w:hAnsi="Times New Roman" w:cs="Times New Roman"/>
          <w:sz w:val="20"/>
          <w:szCs w:val="20"/>
        </w:rPr>
        <w:t xml:space="preserve"> nebo </w:t>
      </w:r>
      <w:r w:rsidRPr="008D43BC">
        <w:rPr>
          <w:rStyle w:val="q4iawc"/>
          <w:rFonts w:ascii="Times New Roman" w:hAnsi="Times New Roman" w:cs="Times New Roman"/>
          <w:sz w:val="20"/>
          <w:szCs w:val="20"/>
        </w:rPr>
        <w:t xml:space="preserve">látky s vlastnostmi narušujícími endokrinní systém </w:t>
      </w:r>
      <w:r w:rsidRPr="008D43BC">
        <w:rPr>
          <w:rFonts w:ascii="Times New Roman" w:hAnsi="Times New Roman" w:cs="Times New Roman"/>
          <w:sz w:val="20"/>
          <w:szCs w:val="20"/>
        </w:rPr>
        <w:t>v koncentraci ≥ 0,1 % hm.</w:t>
      </w:r>
      <w:r w:rsidRPr="00F137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3: Složení/informace o složkách </w:t>
            </w:r>
          </w:p>
        </w:tc>
      </w:tr>
    </w:tbl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3.1</w:t>
      </w:r>
      <w:r w:rsidR="00CE7AAF" w:rsidRPr="000324E2">
        <w:rPr>
          <w:rFonts w:ascii="Times New Roman" w:hAnsi="Times New Roman" w:cs="Times New Roman"/>
          <w:b/>
          <w:bCs/>
        </w:rPr>
        <w:t>.</w:t>
      </w:r>
      <w:r w:rsidR="006F2E1F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 xml:space="preserve">Látky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Produkt je směsí více látek.</w:t>
      </w:r>
    </w:p>
    <w:p w:rsidR="00BD7A40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0324E2">
        <w:rPr>
          <w:rFonts w:ascii="Times New Roman" w:hAnsi="Times New Roman" w:cs="Times New Roman"/>
          <w:b/>
          <w:iCs/>
        </w:rPr>
        <w:t>3.2</w:t>
      </w:r>
      <w:r w:rsidR="00CE7AAF" w:rsidRPr="000324E2">
        <w:rPr>
          <w:rFonts w:ascii="Times New Roman" w:hAnsi="Times New Roman" w:cs="Times New Roman"/>
          <w:b/>
          <w:iCs/>
        </w:rPr>
        <w:t>.</w:t>
      </w:r>
      <w:r w:rsidR="006F2E1F" w:rsidRPr="000324E2">
        <w:rPr>
          <w:rFonts w:ascii="Times New Roman" w:hAnsi="Times New Roman" w:cs="Times New Roman"/>
          <w:b/>
          <w:iCs/>
        </w:rPr>
        <w:t xml:space="preserve"> </w:t>
      </w:r>
      <w:r w:rsidRPr="000324E2">
        <w:rPr>
          <w:rFonts w:ascii="Times New Roman" w:hAnsi="Times New Roman" w:cs="Times New Roman"/>
          <w:b/>
          <w:iCs/>
        </w:rPr>
        <w:t>Směsi</w:t>
      </w:r>
    </w:p>
    <w:p w:rsidR="002B0F38" w:rsidRDefault="002B0F38" w:rsidP="002B0F3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Směs níže uvedených látek a příměsí, které nejsou nebezpečné.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29"/>
        <w:gridCol w:w="1540"/>
        <w:gridCol w:w="3084"/>
      </w:tblGrid>
      <w:tr w:rsidR="002B0F38" w:rsidRPr="00BD7A40" w:rsidTr="002B0F38">
        <w:tc>
          <w:tcPr>
            <w:tcW w:w="3119" w:type="dxa"/>
            <w:vAlign w:val="center"/>
          </w:tcPr>
          <w:p w:rsidR="002B0F38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  <w:p w:rsidR="002B0F38" w:rsidRPr="00BD7A40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(č. REACH)</w:t>
            </w:r>
          </w:p>
        </w:tc>
        <w:tc>
          <w:tcPr>
            <w:tcW w:w="1329" w:type="dxa"/>
            <w:vAlign w:val="center"/>
          </w:tcPr>
          <w:p w:rsidR="002B0F38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41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3084" w:type="dxa"/>
            <w:vAlign w:val="center"/>
          </w:tcPr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2B0F38" w:rsidRPr="00BD7A40" w:rsidTr="002B0F38">
        <w:tc>
          <w:tcPr>
            <w:tcW w:w="3119" w:type="dxa"/>
            <w:vAlign w:val="center"/>
          </w:tcPr>
          <w:p w:rsidR="002B0F38" w:rsidRPr="005F3B4B" w:rsidRDefault="005F3B4B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L-(+)-mléčná kyselina</w:t>
            </w:r>
          </w:p>
          <w:p w:rsidR="005F3B4B" w:rsidRPr="005F3B4B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(01-2119474164-39-XXXX)</w:t>
            </w:r>
          </w:p>
        </w:tc>
        <w:tc>
          <w:tcPr>
            <w:tcW w:w="1329" w:type="dxa"/>
            <w:vAlign w:val="center"/>
          </w:tcPr>
          <w:p w:rsidR="002B0F38" w:rsidRPr="005F3B4B" w:rsidRDefault="005F3B4B" w:rsidP="005F3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F38" w:rsidRPr="005F3B4B">
              <w:rPr>
                <w:rFonts w:ascii="Times New Roman" w:hAnsi="Times New Roman" w:cs="Times New Roman"/>
                <w:sz w:val="20"/>
                <w:szCs w:val="20"/>
              </w:rPr>
              <w:t xml:space="preserve"> – &lt;</w:t>
            </w: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540" w:type="dxa"/>
            <w:vAlign w:val="center"/>
          </w:tcPr>
          <w:p w:rsidR="005004C2" w:rsidRPr="005F3B4B" w:rsidRDefault="005F3B4B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607-743-00-5</w:t>
            </w:r>
          </w:p>
          <w:p w:rsidR="005F3B4B" w:rsidRPr="005F3B4B" w:rsidRDefault="005F3B4B" w:rsidP="005F3B4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 xml:space="preserve">79-33-4 </w:t>
            </w:r>
          </w:p>
          <w:p w:rsidR="005F3B4B" w:rsidRPr="005F3B4B" w:rsidRDefault="005F3B4B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201-196-2</w:t>
            </w:r>
          </w:p>
        </w:tc>
        <w:tc>
          <w:tcPr>
            <w:tcW w:w="3084" w:type="dxa"/>
            <w:vAlign w:val="center"/>
          </w:tcPr>
          <w:p w:rsidR="005F3B4B" w:rsidRPr="005F3B4B" w:rsidRDefault="005F3B4B" w:rsidP="005F3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Corr</w:t>
            </w:r>
            <w:proofErr w:type="spellEnd"/>
            <w:r w:rsidRPr="005F3B4B">
              <w:rPr>
                <w:rFonts w:ascii="Times New Roman" w:hAnsi="Times New Roman" w:cs="Times New Roman"/>
                <w:sz w:val="20"/>
                <w:szCs w:val="20"/>
              </w:rPr>
              <w:t xml:space="preserve">. 1C; H314 </w:t>
            </w:r>
          </w:p>
          <w:p w:rsidR="005F3B4B" w:rsidRPr="005F3B4B" w:rsidRDefault="005F3B4B" w:rsidP="005F3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Eye</w:t>
            </w:r>
            <w:proofErr w:type="spellEnd"/>
            <w:r w:rsidRPr="005F3B4B">
              <w:rPr>
                <w:rFonts w:ascii="Times New Roman" w:hAnsi="Times New Roman" w:cs="Times New Roman"/>
                <w:sz w:val="20"/>
                <w:szCs w:val="20"/>
              </w:rPr>
              <w:t xml:space="preserve"> Dam. 1; H318</w:t>
            </w:r>
          </w:p>
          <w:p w:rsidR="002B0F38" w:rsidRPr="005F3B4B" w:rsidRDefault="005F3B4B" w:rsidP="0034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EUH071</w:t>
            </w:r>
          </w:p>
        </w:tc>
      </w:tr>
    </w:tbl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4.1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6B64A6" w:rsidRPr="000324E2" w:rsidTr="006B64A6">
        <w:tc>
          <w:tcPr>
            <w:tcW w:w="2127" w:type="dxa"/>
          </w:tcPr>
          <w:p w:rsidR="006B64A6" w:rsidRPr="000324E2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:rsidR="006B64A6" w:rsidRPr="001C34F3" w:rsidRDefault="006B64A6" w:rsidP="005F3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Dbejte na vlastní bezpečnost. Projeví-li se zdravotní potíže nebo v případě pochybností, uvědomte lékaře a poskytněte mu informace z tohoto bezpečnostního listu. </w:t>
            </w:r>
          </w:p>
        </w:tc>
      </w:tr>
      <w:tr w:rsidR="006B64A6" w:rsidRPr="000324E2" w:rsidTr="006B64A6">
        <w:tc>
          <w:tcPr>
            <w:tcW w:w="2127" w:type="dxa"/>
          </w:tcPr>
          <w:p w:rsidR="006B64A6" w:rsidRPr="000324E2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:rsidR="006B64A6" w:rsidRPr="001C34F3" w:rsidRDefault="00A04F93" w:rsidP="005F3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4903">
              <w:rPr>
                <w:rFonts w:ascii="Times New Roman" w:hAnsi="Times New Roman" w:cs="Times New Roman"/>
                <w:sz w:val="20"/>
                <w:szCs w:val="20"/>
              </w:rPr>
              <w:t>Okamžitě přerušte expozici, dopravte postiženého na čerstvý vzduch.</w:t>
            </w:r>
          </w:p>
        </w:tc>
      </w:tr>
      <w:tr w:rsidR="006B64A6" w:rsidRPr="000324E2" w:rsidTr="006B64A6">
        <w:tc>
          <w:tcPr>
            <w:tcW w:w="2127" w:type="dxa"/>
          </w:tcPr>
          <w:p w:rsidR="006B64A6" w:rsidRPr="000324E2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:rsidR="006B64A6" w:rsidRPr="001C34F3" w:rsidRDefault="006B64A6" w:rsidP="00A04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Odložte potřísněný oděv. Omyjte postižené místo velkým množstvím, pokud možno, vlažné vody. </w:t>
            </w:r>
            <w:r w:rsidR="00A04F93">
              <w:rPr>
                <w:rFonts w:ascii="Times New Roman" w:hAnsi="Times New Roman" w:cs="Times New Roman"/>
                <w:sz w:val="20"/>
                <w:szCs w:val="20"/>
              </w:rPr>
              <w:t xml:space="preserve">Jestliže dráždění přetrvává, 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vyhledejte lékařskou pomoc/ošetření. Znečištěný oděv před dalším použitím vyperte. </w:t>
            </w:r>
          </w:p>
        </w:tc>
      </w:tr>
      <w:tr w:rsidR="006B64A6" w:rsidRPr="000324E2" w:rsidTr="006B64A6">
        <w:tc>
          <w:tcPr>
            <w:tcW w:w="2127" w:type="dxa"/>
          </w:tcPr>
          <w:p w:rsidR="006B64A6" w:rsidRPr="000324E2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:rsidR="006B64A6" w:rsidRPr="001C34F3" w:rsidRDefault="006B64A6" w:rsidP="00D13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Okamžitě vyplachovat široce otevřené oči proudem tekoucí vlažné vody alespoň </w:t>
            </w:r>
            <w:r w:rsidR="00D130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 minut, rozevřete oční víčka (třeba i násilím); pokud má postižený kontaktní čočky, neprodleně je vyjměte. Okamžitě vyhledejte lékařskou pomoc/ošetření.</w:t>
            </w:r>
          </w:p>
        </w:tc>
      </w:tr>
      <w:tr w:rsidR="006B64A6" w:rsidRPr="000324E2" w:rsidTr="006B64A6">
        <w:tc>
          <w:tcPr>
            <w:tcW w:w="2127" w:type="dxa"/>
          </w:tcPr>
          <w:p w:rsidR="006B64A6" w:rsidRPr="000324E2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:rsidR="006B64A6" w:rsidRPr="001C34F3" w:rsidRDefault="00D130DB" w:rsidP="00D130D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Vypláchněte ústa vodou a dejte vypít 2 – 5 dl vody. </w:t>
            </w:r>
            <w:r w:rsidRPr="001C34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Nevyvolávejte zvracení. </w:t>
            </w:r>
            <w:r w:rsidR="006B64A6" w:rsidRPr="001C34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Okamžitě vyhledejte lékařskou pomoc/ošetření. Neprovádějte nic bez pokynu lékaře. </w:t>
            </w:r>
          </w:p>
        </w:tc>
      </w:tr>
    </w:tbl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4.2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Nejdůležitější akutní a opožděné symptomy a účinky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4A5008" w:rsidRPr="001C34F3" w:rsidTr="005F3B4B">
        <w:tc>
          <w:tcPr>
            <w:tcW w:w="2127" w:type="dxa"/>
          </w:tcPr>
          <w:p w:rsidR="004A5008" w:rsidRPr="001C34F3" w:rsidRDefault="00A04F93" w:rsidP="005F3B4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Vdechováním:</w:t>
            </w:r>
          </w:p>
        </w:tc>
        <w:tc>
          <w:tcPr>
            <w:tcW w:w="6945" w:type="dxa"/>
          </w:tcPr>
          <w:p w:rsidR="004A5008" w:rsidRPr="001C34F3" w:rsidRDefault="00A04F93" w:rsidP="005F3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B4B">
              <w:rPr>
                <w:rFonts w:ascii="Times New Roman" w:hAnsi="Times New Roman" w:cs="Times New Roman"/>
                <w:sz w:val="20"/>
                <w:szCs w:val="20"/>
              </w:rPr>
              <w:t>Způsobuje poleptání dýchacích cest.</w:t>
            </w:r>
          </w:p>
        </w:tc>
      </w:tr>
      <w:tr w:rsidR="00A04F93" w:rsidRPr="001C34F3" w:rsidTr="005F3B4B">
        <w:tc>
          <w:tcPr>
            <w:tcW w:w="2127" w:type="dxa"/>
          </w:tcPr>
          <w:p w:rsidR="00A04F93" w:rsidRPr="001C34F3" w:rsidRDefault="00A04F93" w:rsidP="00B12CA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1C34F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kůží:</w:t>
            </w:r>
          </w:p>
        </w:tc>
        <w:tc>
          <w:tcPr>
            <w:tcW w:w="6945" w:type="dxa"/>
          </w:tcPr>
          <w:p w:rsidR="00A04F93" w:rsidRPr="001C34F3" w:rsidRDefault="00A04F93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Dráždí kůži.</w:t>
            </w:r>
          </w:p>
        </w:tc>
      </w:tr>
      <w:tr w:rsidR="00A04F93" w:rsidRPr="001C34F3" w:rsidTr="005F3B4B">
        <w:tc>
          <w:tcPr>
            <w:tcW w:w="2127" w:type="dxa"/>
          </w:tcPr>
          <w:p w:rsidR="00A04F93" w:rsidRPr="001C34F3" w:rsidRDefault="00A04F93" w:rsidP="00B12CA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1C34F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očima:</w:t>
            </w:r>
          </w:p>
        </w:tc>
        <w:tc>
          <w:tcPr>
            <w:tcW w:w="6945" w:type="dxa"/>
          </w:tcPr>
          <w:p w:rsidR="00A04F93" w:rsidRPr="001C34F3" w:rsidRDefault="00A04F93" w:rsidP="005F3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Způsobuje vážné poškození očí.</w:t>
            </w:r>
          </w:p>
        </w:tc>
      </w:tr>
    </w:tbl>
    <w:p w:rsidR="004A5008" w:rsidRPr="001C34F3" w:rsidRDefault="004A5008" w:rsidP="004A5008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1C34F3">
        <w:rPr>
          <w:rFonts w:ascii="Times New Roman" w:hAnsi="Times New Roman" w:cs="Times New Roman"/>
          <w:b/>
        </w:rPr>
        <w:t>4.3. Pokyn týkající se okamžité lékařské pomoci a zvláštního ošetření</w:t>
      </w: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 xml:space="preserve">Poznámky pro lékaře: léčit podle symptomů.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5.1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0324E2" w:rsidRPr="000324E2" w:rsidTr="00317948">
        <w:tc>
          <w:tcPr>
            <w:tcW w:w="2127" w:type="dxa"/>
          </w:tcPr>
          <w:p w:rsidR="000F0FD8" w:rsidRPr="000324E2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:rsidR="000F0FD8" w:rsidRPr="000324E2" w:rsidRDefault="00D17C86" w:rsidP="00AA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Oxid uhličitý, pěna, hasicí prášek, </w:t>
            </w:r>
            <w:r w:rsidR="004A6BB9" w:rsidRPr="000324E2">
              <w:rPr>
                <w:rFonts w:ascii="Times New Roman" w:hAnsi="Times New Roman" w:cs="Times New Roman"/>
                <w:sz w:val="20"/>
                <w:szCs w:val="20"/>
              </w:rPr>
              <w:t>tříštěný proud vody.</w:t>
            </w:r>
          </w:p>
        </w:tc>
      </w:tr>
      <w:tr w:rsidR="000324E2" w:rsidRPr="000324E2" w:rsidTr="00317948">
        <w:tc>
          <w:tcPr>
            <w:tcW w:w="2127" w:type="dxa"/>
          </w:tcPr>
          <w:p w:rsidR="000F0FD8" w:rsidRPr="000324E2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Nevhodná hasiva:</w:t>
            </w:r>
          </w:p>
        </w:tc>
        <w:tc>
          <w:tcPr>
            <w:tcW w:w="6945" w:type="dxa"/>
          </w:tcPr>
          <w:p w:rsidR="000F0FD8" w:rsidRPr="000324E2" w:rsidRDefault="00D17C86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Žádné konkrétní.</w:t>
            </w:r>
          </w:p>
        </w:tc>
      </w:tr>
    </w:tbl>
    <w:p w:rsidR="00A04F93" w:rsidRDefault="00A04F93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</w:p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5.2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Zvláštní nebezpečnost vyplývající z látky nebo směsi</w:t>
      </w:r>
    </w:p>
    <w:p w:rsidR="00BD7A40" w:rsidRPr="000324E2" w:rsidRDefault="004A6BB9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lastRenderedPageBreak/>
        <w:t>Nebezpečí způsobené expozicí v případě požáru: nevdechovat spaliny.</w:t>
      </w:r>
      <w:r w:rsidR="004A50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5.3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Pokyny pro hasiče</w:t>
      </w:r>
    </w:p>
    <w:p w:rsidR="004A6BB9" w:rsidRPr="000324E2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 chlazení nádob vystavených ohni používat vodní postřik, aby se předešlo prasknutí nádob a uvolnění nebezpečných produktů rozkladu. Znečištěnou vodu použitou k hašení zachytávat odděleně. Nesmí být vypouštěna do žádného vodního toku, splaškové nebo srážkové kanalizace.</w:t>
      </w:r>
    </w:p>
    <w:p w:rsidR="004A6BB9" w:rsidRPr="000324E2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b/>
          <w:bCs/>
          <w:sz w:val="20"/>
          <w:szCs w:val="20"/>
        </w:rPr>
        <w:t>Speciální ochranné prostředky pro hasiče:</w:t>
      </w:r>
    </w:p>
    <w:p w:rsidR="004A6BB9" w:rsidRPr="000324E2" w:rsidRDefault="004A6BB9" w:rsidP="004A6B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Používat běžnou protipožární ochranu: tj. oděv (EN 469), rukavice (EN 659), obuv (HO specifikace A26 a A30), přetlakový dýchací přístroj se stlačeným vzduchem (EN 137).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>ODDÍL 6: Opatření v případě náhodného úniku</w:t>
            </w:r>
          </w:p>
        </w:tc>
      </w:tr>
    </w:tbl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6.1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Opatření na ochranu osob, ochranné prostředky a nouzové postupy</w:t>
      </w:r>
    </w:p>
    <w:p w:rsidR="00DE29AB" w:rsidRPr="005D73F3" w:rsidRDefault="005D73F3" w:rsidP="005F13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jlqj4b"/>
          <w:rFonts w:ascii="Times New Roman" w:hAnsi="Times New Roman" w:cs="Times New Roman"/>
          <w:sz w:val="20"/>
          <w:szCs w:val="20"/>
        </w:rPr>
        <w:t xml:space="preserve">Zastavit únik kapaliny, pokud je to bezpečné. Používat vhodní osobní ochranné prostředky viz oddíl 8. Zajistit dostatečné větrání. </w:t>
      </w:r>
      <w:r w:rsidR="004A6BB9" w:rsidRPr="000324E2">
        <w:rPr>
          <w:rStyle w:val="jlqj4b"/>
          <w:rFonts w:ascii="Times New Roman" w:hAnsi="Times New Roman" w:cs="Times New Roman"/>
          <w:sz w:val="20"/>
          <w:szCs w:val="20"/>
        </w:rPr>
        <w:t>Tyto údaje platí jak pro zpracovatele, tak pro osoby zapojené do nouzových postupů.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6.2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Opatření na ochranu životního prostředí</w:t>
      </w:r>
    </w:p>
    <w:p w:rsidR="00BD7A40" w:rsidRPr="000324E2" w:rsidRDefault="004A6BB9" w:rsidP="00BD7A40">
      <w:pPr>
        <w:spacing w:after="0" w:line="240" w:lineRule="auto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0324E2">
        <w:rPr>
          <w:rStyle w:val="tlid-translation"/>
          <w:rFonts w:ascii="Times New Roman" w:hAnsi="Times New Roman" w:cs="Times New Roman"/>
          <w:sz w:val="20"/>
          <w:szCs w:val="20"/>
        </w:rPr>
        <w:t>Produkt nesmí proniknout do kanalizace ani se dostat do kontaktu s povrchovou nebo podzemní vodou.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6.3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Metody a materiál pro omezení úniku a pro čištění</w:t>
      </w:r>
    </w:p>
    <w:p w:rsidR="00BD7A40" w:rsidRPr="000324E2" w:rsidRDefault="005D73F3" w:rsidP="005D73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44903">
        <w:rPr>
          <w:rFonts w:ascii="Times New Roman" w:hAnsi="Times New Roman" w:cs="Times New Roman"/>
          <w:snapToGrid w:val="0"/>
          <w:sz w:val="20"/>
          <w:szCs w:val="20"/>
        </w:rPr>
        <w:t xml:space="preserve">Při náhodném úniku zakrýt kanalizační vpusť. Zabránit dalšímu úniku. </w:t>
      </w:r>
      <w:r w:rsidRPr="00444903">
        <w:rPr>
          <w:rFonts w:ascii="Times New Roman" w:hAnsi="Times New Roman" w:cs="Times New Roman"/>
          <w:sz w:val="20"/>
          <w:szCs w:val="20"/>
        </w:rPr>
        <w:t xml:space="preserve">Rozlitý produkt pohlcovat inertním materiálem (písek, zemina, křemelina aj.) a znečištěný materiál uložit do označených nádob, těsně uzavřít a odstranit podle oddílu 13. Místo úniku a použité nářadí opláchnout velkým množstvím vody. </w:t>
      </w:r>
      <w:r w:rsidR="004A5008" w:rsidRPr="00444903">
        <w:rPr>
          <w:rFonts w:ascii="Times New Roman" w:hAnsi="Times New Roman" w:cs="Times New Roman"/>
          <w:sz w:val="20"/>
          <w:szCs w:val="20"/>
        </w:rPr>
        <w:t>Znečištěnou odpadní vodu zadržet a zlikvidovat ji</w:t>
      </w:r>
      <w:r w:rsidR="004A5008" w:rsidRPr="0044490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6.4</w:t>
      </w:r>
      <w:r w:rsidR="00CE7AAF" w:rsidRPr="000324E2">
        <w:rPr>
          <w:rFonts w:ascii="Times New Roman" w:hAnsi="Times New Roman" w:cs="Times New Roman"/>
          <w:b/>
          <w:bCs/>
        </w:rPr>
        <w:t>.</w:t>
      </w:r>
      <w:r w:rsidR="006F2E1F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Odkaz na jiné oddíly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7.1</w:t>
      </w:r>
      <w:r w:rsidR="002C249A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Opatření pro bezpečné zacházení</w:t>
      </w:r>
    </w:p>
    <w:p w:rsidR="004A5008" w:rsidRPr="00444903" w:rsidRDefault="004A5008" w:rsidP="004A500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44903">
        <w:rPr>
          <w:rFonts w:ascii="Times New Roman" w:hAnsi="Times New Roman" w:cs="Times New Roman"/>
          <w:sz w:val="20"/>
          <w:szCs w:val="20"/>
          <w:u w:val="single"/>
        </w:rPr>
        <w:t>Pokyny pro ochranu před požárem:</w:t>
      </w:r>
    </w:p>
    <w:p w:rsidR="004A5008" w:rsidRDefault="004A5008" w:rsidP="004A50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Dodržovat veškerá protipožární opatření. </w:t>
      </w:r>
    </w:p>
    <w:p w:rsidR="00BD7A40" w:rsidRPr="000324E2" w:rsidRDefault="00520ABA" w:rsidP="004A5008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Pokyny pro b</w:t>
      </w:r>
      <w:r w:rsidR="00465A35" w:rsidRPr="000324E2">
        <w:rPr>
          <w:rFonts w:ascii="Times New Roman" w:hAnsi="Times New Roman" w:cs="Times New Roman"/>
          <w:sz w:val="20"/>
          <w:szCs w:val="20"/>
          <w:u w:val="single"/>
        </w:rPr>
        <w:t>ezpečné zacházení:</w:t>
      </w:r>
    </w:p>
    <w:p w:rsidR="00BD7A40" w:rsidRPr="000324E2" w:rsidRDefault="00266494" w:rsidP="00CF10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Před manipulací s produktem se seznámit s návodem k použití. </w:t>
      </w:r>
      <w:r w:rsidR="005D73F3" w:rsidRPr="00444903">
        <w:rPr>
          <w:rFonts w:ascii="Times New Roman" w:hAnsi="Times New Roman" w:cs="Times New Roman"/>
          <w:sz w:val="20"/>
          <w:szCs w:val="20"/>
        </w:rPr>
        <w:t xml:space="preserve">Dodržovat běžná hygienická opatření a průmyslové bezpečnostní předpisy. </w:t>
      </w:r>
      <w:r w:rsidR="004A5008" w:rsidRPr="00444903">
        <w:rPr>
          <w:rFonts w:ascii="Times New Roman" w:hAnsi="Times New Roman" w:cs="Times New Roman"/>
          <w:sz w:val="20"/>
          <w:szCs w:val="20"/>
        </w:rPr>
        <w:t xml:space="preserve">Zamezit kontaktu s kůží a očima. Používat osobní ochranné prostředky viz oddíl 8. 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 xml:space="preserve">Po skončení práce si důkladně </w:t>
      </w:r>
      <w:r w:rsidR="00662543" w:rsidRPr="000324E2">
        <w:rPr>
          <w:rFonts w:ascii="Times New Roman" w:hAnsi="Times New Roman" w:cs="Times New Roman"/>
          <w:bCs/>
          <w:sz w:val="20"/>
          <w:szCs w:val="20"/>
        </w:rPr>
        <w:t>o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>mýt ruce a obličej vodou a mýdlem. Při práci nejíst, nepít, nekouřit.</w:t>
      </w:r>
    </w:p>
    <w:p w:rsidR="00176F47" w:rsidRPr="000324E2" w:rsidRDefault="00BD7A40" w:rsidP="00176F47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Zamezení úniku do životního prostředí: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F62" w:rsidRPr="000324E2" w:rsidRDefault="00DD0BFC" w:rsidP="00CF1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V závislosti na skladovaném množství produktu provést vhodná opatření k zachycení úniku úkapů z nádob. Poškozené obaly mechanicky sebrat a odstranit, pokud tak lze učinit bez rizika. Zabránit rozlití nebo únikům do</w:t>
      </w:r>
      <w:r w:rsidR="005D73F3">
        <w:rPr>
          <w:rFonts w:ascii="Times New Roman" w:hAnsi="Times New Roman" w:cs="Times New Roman"/>
          <w:sz w:val="20"/>
          <w:szCs w:val="20"/>
        </w:rPr>
        <w:t> </w:t>
      </w:r>
      <w:r w:rsidRPr="00444903">
        <w:rPr>
          <w:rFonts w:ascii="Times New Roman" w:hAnsi="Times New Roman" w:cs="Times New Roman"/>
          <w:sz w:val="20"/>
          <w:szCs w:val="20"/>
        </w:rPr>
        <w:t xml:space="preserve">kanalizace, povrchových nebo podzemních vod. Při úniku postupovat podle oddílu 6. 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7.2</w:t>
      </w:r>
      <w:r w:rsidR="002C249A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Podmínky pro bezpečné skladování látek a směsí včetně neslučitelných látek a směsí</w:t>
      </w:r>
    </w:p>
    <w:p w:rsidR="005D73F3" w:rsidRDefault="005D73F3" w:rsidP="005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Skladovat v původních obalech. Pokud produkt nepoužíváte, uchovávejte jej těsně uzavřený na dobře větraném místě mimo dosah přímého slunečního záření, potravin, nápojů a krmiv.</w:t>
      </w:r>
    </w:p>
    <w:p w:rsidR="005D73F3" w:rsidRDefault="005D73F3" w:rsidP="005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Otevřené obaly musí být pečlivě uzavřeny a ponechávány ve svislé poloze, aby nedošlo k úniku. </w:t>
      </w:r>
    </w:p>
    <w:p w:rsidR="00BD7A40" w:rsidRPr="000324E2" w:rsidRDefault="00266494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Uchovávat v jasně označených obalech mimo dosah neslučitelných materiálů (viz oddíl 10).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7.3</w:t>
      </w:r>
      <w:r w:rsidR="002C249A" w:rsidRPr="000324E2">
        <w:rPr>
          <w:rFonts w:ascii="Times New Roman" w:hAnsi="Times New Roman" w:cs="Times New Roman"/>
          <w:b/>
          <w:bCs/>
        </w:rPr>
        <w:t>.</w:t>
      </w:r>
      <w:r w:rsidR="006F2E1F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Specifické konečné/specifická konečná použití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8: Omezování expozice/osobní ochranné prostředky </w:t>
            </w:r>
          </w:p>
        </w:tc>
      </w:tr>
    </w:tbl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8.1</w:t>
      </w:r>
      <w:r w:rsidR="002C249A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Kontrolní parametry</w:t>
      </w: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34F3">
        <w:rPr>
          <w:rFonts w:ascii="Times New Roman" w:hAnsi="Times New Roman" w:cs="Times New Roman"/>
          <w:bCs/>
          <w:sz w:val="20"/>
          <w:szCs w:val="20"/>
        </w:rPr>
        <w:t xml:space="preserve">Kontrolní parametry látek v nařízení vlády č. 361/2007 Sb., ve znění pozdějších předpisů </w:t>
      </w:r>
      <w:r w:rsidR="00A04F93" w:rsidRPr="00444903">
        <w:rPr>
          <w:rFonts w:ascii="Times New Roman" w:hAnsi="Times New Roman" w:cs="Times New Roman"/>
          <w:sz w:val="20"/>
          <w:szCs w:val="20"/>
        </w:rPr>
        <w:t>– nejsou uvedeny</w:t>
      </w: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6494" w:rsidRDefault="004A5008" w:rsidP="00A04F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lastRenderedPageBreak/>
        <w:t xml:space="preserve">Limitní expoziční hodnoty na pracovišti podle směrnice č. </w:t>
      </w:r>
      <w:r w:rsidRPr="001C34F3">
        <w:rPr>
          <w:rFonts w:ascii="Times New Roman" w:hAnsi="Times New Roman" w:cs="Times New Roman"/>
          <w:bCs/>
          <w:sz w:val="20"/>
          <w:szCs w:val="20"/>
        </w:rPr>
        <w:t>2000/39/ES, ve znění pozdějších předpisů</w:t>
      </w:r>
      <w:r w:rsidRPr="001C34F3">
        <w:rPr>
          <w:rFonts w:ascii="Times New Roman" w:hAnsi="Times New Roman" w:cs="Times New Roman"/>
          <w:sz w:val="20"/>
          <w:szCs w:val="20"/>
        </w:rPr>
        <w:t xml:space="preserve"> </w:t>
      </w:r>
      <w:r w:rsidR="00A04F93" w:rsidRPr="00444903">
        <w:rPr>
          <w:rFonts w:ascii="Times New Roman" w:hAnsi="Times New Roman" w:cs="Times New Roman"/>
          <w:sz w:val="20"/>
          <w:szCs w:val="20"/>
        </w:rPr>
        <w:t>– nejsou uvedeny</w:t>
      </w:r>
    </w:p>
    <w:p w:rsidR="00A04F93" w:rsidRPr="000324E2" w:rsidRDefault="00A04F93" w:rsidP="00A04F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A40" w:rsidRPr="000324E2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Limitní hodnoty ukazatelů biologických expozičních testů ve vyhlášce č. 432/2003 </w:t>
      </w:r>
      <w:r w:rsidRPr="000324E2">
        <w:rPr>
          <w:rFonts w:ascii="Times New Roman" w:hAnsi="Times New Roman" w:cs="Times New Roman"/>
          <w:bCs/>
          <w:sz w:val="20"/>
          <w:szCs w:val="20"/>
        </w:rPr>
        <w:t>Sb., ve znění pozdějších předpisů</w:t>
      </w:r>
      <w:r w:rsidR="00A95667"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667" w:rsidRPr="000324E2">
        <w:rPr>
          <w:rFonts w:ascii="Times New Roman" w:hAnsi="Times New Roman" w:cs="Times New Roman"/>
          <w:sz w:val="20"/>
          <w:szCs w:val="20"/>
        </w:rPr>
        <w:t>– nejsou uvedeny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0324E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>zatím nejsou k dispozici pro směs.</w:t>
      </w:r>
    </w:p>
    <w:p w:rsidR="00A04F93" w:rsidRDefault="00A04F93" w:rsidP="00D81A2D">
      <w:pPr>
        <w:pStyle w:val="Nadpis1"/>
        <w:keepLines/>
        <w:widowControl w:val="0"/>
        <w:numPr>
          <w:ilvl w:val="0"/>
          <w:numId w:val="0"/>
        </w:numPr>
        <w:spacing w:before="0" w:after="0"/>
        <w:rPr>
          <w:rFonts w:eastAsiaTheme="minorHAnsi"/>
          <w:snapToGrid/>
          <w:kern w:val="0"/>
          <w:sz w:val="20"/>
          <w:lang w:eastAsia="en-US"/>
        </w:rPr>
      </w:pPr>
      <w:r>
        <w:rPr>
          <w:rFonts w:eastAsiaTheme="minorHAnsi"/>
          <w:snapToGrid/>
          <w:kern w:val="0"/>
          <w:sz w:val="20"/>
          <w:lang w:eastAsia="en-US"/>
        </w:rPr>
        <w:t>Kyselina mléčná</w:t>
      </w:r>
    </w:p>
    <w:p w:rsidR="005D73F3" w:rsidRPr="00444903" w:rsidRDefault="005D73F3" w:rsidP="00D81A2D">
      <w:pPr>
        <w:pStyle w:val="Nadpis1"/>
        <w:keepLines/>
        <w:widowControl w:val="0"/>
        <w:numPr>
          <w:ilvl w:val="0"/>
          <w:numId w:val="0"/>
        </w:numPr>
        <w:spacing w:before="0" w:after="0"/>
        <w:rPr>
          <w:b w:val="0"/>
          <w:caps/>
          <w:sz w:val="20"/>
        </w:rPr>
      </w:pPr>
      <w:r w:rsidRPr="00444903">
        <w:rPr>
          <w:b w:val="0"/>
          <w:sz w:val="20"/>
        </w:rPr>
        <w:t xml:space="preserve">Hodnoty DNEL: </w:t>
      </w:r>
      <w:r w:rsidR="00A04F93" w:rsidRPr="00A04F93">
        <w:rPr>
          <w:b w:val="0"/>
          <w:sz w:val="20"/>
        </w:rPr>
        <w:t>nejsou uvedeny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Hodnoty PNEC: 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sladkovodní prostředí: </w:t>
      </w:r>
      <w:r w:rsidR="00A04F93">
        <w:rPr>
          <w:rFonts w:ascii="Times New Roman" w:hAnsi="Times New Roman" w:cs="Times New Roman"/>
          <w:sz w:val="20"/>
          <w:szCs w:val="20"/>
        </w:rPr>
        <w:t>1,3</w:t>
      </w:r>
      <w:r w:rsidRPr="00444903">
        <w:rPr>
          <w:rFonts w:ascii="Times New Roman" w:hAnsi="Times New Roman" w:cs="Times New Roman"/>
          <w:sz w:val="20"/>
          <w:szCs w:val="20"/>
        </w:rPr>
        <w:t xml:space="preserve"> </w:t>
      </w:r>
      <w:r w:rsidR="00A04F93">
        <w:rPr>
          <w:rFonts w:ascii="Times New Roman" w:hAnsi="Times New Roman" w:cs="Times New Roman"/>
          <w:sz w:val="20"/>
          <w:szCs w:val="20"/>
        </w:rPr>
        <w:t>m</w:t>
      </w:r>
      <w:r w:rsidRPr="00444903">
        <w:rPr>
          <w:rFonts w:ascii="Times New Roman" w:hAnsi="Times New Roman" w:cs="Times New Roman"/>
          <w:sz w:val="20"/>
          <w:szCs w:val="20"/>
        </w:rPr>
        <w:t>g/l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mikroorganismy v čističkách odpadních vod:</w:t>
      </w:r>
      <w:r w:rsidR="00017BCB">
        <w:rPr>
          <w:rFonts w:ascii="Times New Roman" w:hAnsi="Times New Roman" w:cs="Times New Roman"/>
          <w:sz w:val="20"/>
          <w:szCs w:val="20"/>
        </w:rPr>
        <w:t xml:space="preserve"> </w:t>
      </w:r>
      <w:r w:rsidR="00A04F93">
        <w:rPr>
          <w:rFonts w:ascii="Times New Roman" w:hAnsi="Times New Roman" w:cs="Times New Roman"/>
          <w:sz w:val="20"/>
          <w:szCs w:val="20"/>
        </w:rPr>
        <w:t>10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mg/l</w:t>
      </w:r>
    </w:p>
    <w:p w:rsidR="00876255" w:rsidRPr="000324E2" w:rsidRDefault="00876255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Pr="003E30B8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8.2</w:t>
      </w:r>
      <w:r w:rsidR="002C249A" w:rsidRPr="000324E2">
        <w:rPr>
          <w:rFonts w:ascii="Times New Roman" w:hAnsi="Times New Roman" w:cs="Times New Roman"/>
          <w:b/>
          <w:bCs/>
        </w:rPr>
        <w:t>.</w:t>
      </w:r>
      <w:r w:rsidRPr="000324E2">
        <w:rPr>
          <w:rFonts w:ascii="Times New Roman" w:hAnsi="Times New Roman" w:cs="Times New Roman"/>
          <w:b/>
          <w:bCs/>
        </w:rPr>
        <w:t xml:space="preserve"> </w:t>
      </w:r>
      <w:r w:rsidRPr="003E30B8">
        <w:rPr>
          <w:rFonts w:ascii="Times New Roman" w:hAnsi="Times New Roman" w:cs="Times New Roman"/>
          <w:b/>
          <w:bCs/>
        </w:rPr>
        <w:t>Omezování expozice</w:t>
      </w:r>
    </w:p>
    <w:p w:rsidR="00BD7A40" w:rsidRPr="003E30B8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E30B8">
        <w:rPr>
          <w:rFonts w:ascii="Times New Roman" w:hAnsi="Times New Roman" w:cs="Times New Roman"/>
          <w:b/>
          <w:bCs/>
          <w:sz w:val="20"/>
          <w:szCs w:val="20"/>
        </w:rPr>
        <w:t>8.2.1</w:t>
      </w:r>
      <w:r w:rsidR="004C5921" w:rsidRPr="003E30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E30B8">
        <w:rPr>
          <w:rFonts w:ascii="Times New Roman" w:hAnsi="Times New Roman" w:cs="Times New Roman"/>
          <w:b/>
          <w:bCs/>
          <w:sz w:val="20"/>
          <w:szCs w:val="20"/>
        </w:rPr>
        <w:t>Vhodné technické kontroly</w:t>
      </w: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34F3">
        <w:rPr>
          <w:rFonts w:ascii="Times New Roman" w:hAnsi="Times New Roman" w:cs="Times New Roman"/>
          <w:bCs/>
          <w:sz w:val="20"/>
          <w:szCs w:val="20"/>
        </w:rPr>
        <w:t xml:space="preserve">Protože používání přiměřeného technického vybavení musí mít vždy přednost před osobními ochrannými prostředky, ujistěte se, že je pracoviště dobře větráno prostřednictvím účinné lokální ventilace. </w:t>
      </w:r>
    </w:p>
    <w:p w:rsidR="00BD7A40" w:rsidRPr="003E30B8" w:rsidRDefault="00BD7A40" w:rsidP="00C97DB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E30B8">
        <w:rPr>
          <w:rFonts w:ascii="Times New Roman" w:hAnsi="Times New Roman" w:cs="Times New Roman"/>
          <w:b/>
          <w:iCs/>
          <w:sz w:val="20"/>
          <w:szCs w:val="20"/>
        </w:rPr>
        <w:t>8.2.2</w:t>
      </w:r>
      <w:r w:rsidR="004C5921" w:rsidRPr="003E30B8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3E30B8">
        <w:rPr>
          <w:rFonts w:ascii="Times New Roman" w:hAnsi="Times New Roman" w:cs="Times New Roman"/>
          <w:b/>
          <w:iCs/>
          <w:sz w:val="20"/>
          <w:szCs w:val="20"/>
        </w:rPr>
        <w:t xml:space="preserve">Individuální ochranná opatření včetně osobních ochranných prostředků </w:t>
      </w:r>
    </w:p>
    <w:p w:rsidR="00BD7A40" w:rsidRPr="003E30B8" w:rsidRDefault="00CB1859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30B8">
        <w:rPr>
          <w:rFonts w:ascii="Times New Roman" w:hAnsi="Times New Roman" w:cs="Times New Roman"/>
          <w:sz w:val="20"/>
          <w:szCs w:val="20"/>
        </w:rPr>
        <w:t xml:space="preserve">Nařízení vlády ČR č. 495/2001 Sb. a nařízení (EU) č. 2016/425 </w:t>
      </w:r>
      <w:r w:rsidR="001A1355" w:rsidRPr="003E30B8">
        <w:rPr>
          <w:rFonts w:ascii="Times New Roman" w:hAnsi="Times New Roman" w:cs="Times New Roman"/>
          <w:sz w:val="20"/>
          <w:szCs w:val="20"/>
        </w:rPr>
        <w:t xml:space="preserve">– </w:t>
      </w:r>
      <w:r w:rsidR="004D6BAB" w:rsidRPr="003E30B8">
        <w:rPr>
          <w:rFonts w:ascii="Times New Roman" w:hAnsi="Times New Roman" w:cs="Times New Roman"/>
          <w:sz w:val="20"/>
          <w:szCs w:val="20"/>
        </w:rPr>
        <w:t xml:space="preserve">veškeré osobní ochranné </w:t>
      </w:r>
      <w:r w:rsidR="000C13E0" w:rsidRPr="003E30B8">
        <w:rPr>
          <w:rFonts w:ascii="Times New Roman" w:hAnsi="Times New Roman" w:cs="Times New Roman"/>
          <w:sz w:val="20"/>
          <w:szCs w:val="20"/>
        </w:rPr>
        <w:t>prostředky</w:t>
      </w:r>
      <w:r w:rsidR="004D6BAB" w:rsidRPr="003E30B8">
        <w:rPr>
          <w:rFonts w:ascii="Times New Roman" w:hAnsi="Times New Roman" w:cs="Times New Roman"/>
          <w:sz w:val="20"/>
          <w:szCs w:val="20"/>
        </w:rPr>
        <w:t xml:space="preserve"> musí být v souladu s těmito nařízeními.</w:t>
      </w:r>
    </w:p>
    <w:p w:rsidR="00F14683" w:rsidRPr="003E30B8" w:rsidRDefault="00CE631E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 xml:space="preserve">Na pracovišti zajistit zařízení pro výplach očí (oční sprcha). </w:t>
      </w:r>
      <w:r w:rsidR="00F14683" w:rsidRPr="003E30B8">
        <w:rPr>
          <w:rFonts w:ascii="Times New Roman" w:hAnsi="Times New Roman" w:cs="Times New Roman"/>
          <w:bCs/>
          <w:sz w:val="20"/>
          <w:szCs w:val="20"/>
        </w:rPr>
        <w:t xml:space="preserve">Zajistit, aby s produktem pracovaly osoby používající osobní ochranné </w:t>
      </w:r>
      <w:r w:rsidR="000C13E0" w:rsidRPr="003E30B8">
        <w:rPr>
          <w:rFonts w:ascii="Times New Roman" w:hAnsi="Times New Roman" w:cs="Times New Roman"/>
          <w:sz w:val="20"/>
          <w:szCs w:val="20"/>
        </w:rPr>
        <w:t>prostředky</w:t>
      </w:r>
      <w:r w:rsidR="00F14683" w:rsidRPr="003E30B8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F14683" w:rsidRPr="003E30B8">
        <w:rPr>
          <w:rFonts w:ascii="Times New Roman" w:hAnsi="Times New Roman" w:cs="Times New Roman"/>
          <w:sz w:val="20"/>
          <w:szCs w:val="20"/>
        </w:rPr>
        <w:t>Zamezit kontaktu s kůží a očima. Nejíst, nepít a nekouřit při používání. Znečištěný, potřísněný oděv vysvléct. Znečištěný oděv před opětovným použitím vyprat. Před přestávkou a po</w:t>
      </w:r>
      <w:r w:rsidR="00A04F93">
        <w:rPr>
          <w:rFonts w:ascii="Times New Roman" w:hAnsi="Times New Roman" w:cs="Times New Roman"/>
          <w:sz w:val="20"/>
          <w:szCs w:val="20"/>
        </w:rPr>
        <w:t> </w:t>
      </w:r>
      <w:r w:rsidR="00F14683" w:rsidRPr="003E30B8">
        <w:rPr>
          <w:rFonts w:ascii="Times New Roman" w:hAnsi="Times New Roman" w:cs="Times New Roman"/>
          <w:sz w:val="20"/>
          <w:szCs w:val="20"/>
        </w:rPr>
        <w:t>skončení práce si důkladně umýt ruce a obličej vodou, případně se vysprchovat. Po práci použít ošetřující výrobky pro ochranu pokožky.</w:t>
      </w:r>
    </w:p>
    <w:p w:rsidR="008B62E5" w:rsidRPr="003E30B8" w:rsidRDefault="008B62E5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0724EB" w:rsidRPr="003E30B8" w:rsidTr="00C61B98">
        <w:tc>
          <w:tcPr>
            <w:tcW w:w="2268" w:type="dxa"/>
          </w:tcPr>
          <w:p w:rsidR="000724EB" w:rsidRPr="003E30B8" w:rsidRDefault="000724EB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E30B8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očí a obličeje:</w:t>
            </w:r>
          </w:p>
        </w:tc>
        <w:tc>
          <w:tcPr>
            <w:tcW w:w="6804" w:type="dxa"/>
          </w:tcPr>
          <w:p w:rsidR="000724EB" w:rsidRPr="003E30B8" w:rsidRDefault="000724EB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Těsně přiléhající ochranné brýle (EN 166).</w:t>
            </w:r>
          </w:p>
        </w:tc>
      </w:tr>
      <w:tr w:rsidR="00CE631E" w:rsidRPr="000324E2" w:rsidTr="00C61B98">
        <w:tc>
          <w:tcPr>
            <w:tcW w:w="2268" w:type="dxa"/>
          </w:tcPr>
          <w:p w:rsidR="00CE631E" w:rsidRPr="003E30B8" w:rsidRDefault="00CE631E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E30B8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:rsidR="00CE631E" w:rsidRPr="001C34F3" w:rsidRDefault="00CE631E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:rsidR="00CE631E" w:rsidRPr="001C34F3" w:rsidRDefault="00CE631E" w:rsidP="005F3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Používat ochranné rukavice odolné výrobku podle EN 374, kategorie III. </w:t>
            </w:r>
          </w:p>
          <w:p w:rsidR="00CE631E" w:rsidRPr="001C34F3" w:rsidRDefault="00CE631E" w:rsidP="005F3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Před každým použitím zkontrolovat těsnost rukavic. Materiál rukavic musí být nepropustný a odolný produktu. Odolnost materiálu rukavic se musí před použitím vyzkoušet. Ochranné rukavice by měli být vyměněny při prvních známkách opotřebení. Seznámit se s pokyny pro použití rukavic uváděnými výrobcem. </w:t>
            </w:r>
          </w:p>
          <w:p w:rsidR="00CE631E" w:rsidRPr="001C34F3" w:rsidRDefault="00CE631E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:rsidR="00CE631E" w:rsidRPr="001C34F3" w:rsidRDefault="00CE631E" w:rsidP="00A04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Profesionální ochranný oděv s dlouhými rukávy kategorie I a bezpečnostní obuv (EN 20344). </w:t>
            </w:r>
            <w:r w:rsidRPr="001C34F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Po odstranění ochranného oděvu umýt tělo mýdlem a vodou.</w:t>
            </w:r>
          </w:p>
        </w:tc>
      </w:tr>
      <w:tr w:rsidR="00CE631E" w:rsidRPr="000324E2" w:rsidTr="00C61B98">
        <w:tc>
          <w:tcPr>
            <w:tcW w:w="2268" w:type="dxa"/>
          </w:tcPr>
          <w:p w:rsidR="00CE631E" w:rsidRPr="000324E2" w:rsidRDefault="00CE631E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:rsidR="00CE631E" w:rsidRDefault="00CE631E" w:rsidP="00CE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Při překročení mezních koncentrací použít </w:t>
            </w:r>
            <w:r w:rsidRPr="001C34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masku s filtrem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Pr="001C34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jehož třída (1, 2 nebo 3) musí být zvolena podle koncentrace látky (viz EN 14387). </w:t>
            </w:r>
          </w:p>
          <w:p w:rsidR="00CE631E" w:rsidRPr="001C34F3" w:rsidRDefault="00CE631E" w:rsidP="00CE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Při nouzových pracích použít dýchací přístroj na stlačený vzduch s otevřeným okruhem (EN 137) nebo externí dýchací přístroj pro přívod vzduchu (EN 138). </w:t>
            </w:r>
          </w:p>
        </w:tc>
      </w:tr>
      <w:tr w:rsidR="000324E2" w:rsidRPr="000324E2" w:rsidTr="00C61B98">
        <w:tc>
          <w:tcPr>
            <w:tcW w:w="2268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:rsidR="00BD7A40" w:rsidRPr="000324E2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24E2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0324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:rsidR="00C61B98" w:rsidRPr="000324E2" w:rsidRDefault="00BD7A40" w:rsidP="00C61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  <w:r w:rsidR="00C61B98"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1B98" w:rsidRPr="000324E2">
        <w:rPr>
          <w:rStyle w:val="jlqj4b"/>
          <w:rFonts w:ascii="Times New Roman" w:hAnsi="Times New Roman" w:cs="Times New Roman"/>
          <w:sz w:val="20"/>
          <w:szCs w:val="20"/>
        </w:rPr>
        <w:t>Emise vznikající výrobními procesy, včetně emisí generovaných ventilačním zařízením, by měly být kontrolovány s cílem zajistit dodržování předpisů v oblasti životního prostředí.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:rsidR="00BD7A40" w:rsidRPr="000324E2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9.1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Skupenství</w:t>
            </w:r>
          </w:p>
        </w:tc>
        <w:tc>
          <w:tcPr>
            <w:tcW w:w="5492" w:type="dxa"/>
          </w:tcPr>
          <w:p w:rsidR="00A52E96" w:rsidRPr="003E30B8" w:rsidRDefault="00A04F93" w:rsidP="00A04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Slabě viskózní k</w:t>
            </w:r>
            <w:r w:rsidR="003E30B8"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apalina </w:t>
            </w:r>
          </w:p>
        </w:tc>
      </w:tr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Barva</w:t>
            </w:r>
          </w:p>
        </w:tc>
        <w:tc>
          <w:tcPr>
            <w:tcW w:w="5492" w:type="dxa"/>
          </w:tcPr>
          <w:p w:rsidR="00A52E96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Bezbarvá </w:t>
            </w:r>
          </w:p>
        </w:tc>
      </w:tr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Zápach</w:t>
            </w:r>
          </w:p>
        </w:tc>
        <w:tc>
          <w:tcPr>
            <w:tcW w:w="5492" w:type="dxa"/>
          </w:tcPr>
          <w:p w:rsidR="00A52E96" w:rsidRPr="003E30B8" w:rsidRDefault="00A04F93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Charakteristický 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tání/bod tuhnutí</w:t>
            </w:r>
          </w:p>
        </w:tc>
        <w:tc>
          <w:tcPr>
            <w:tcW w:w="5492" w:type="dxa"/>
          </w:tcPr>
          <w:p w:rsidR="003E30B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BD7A40">
            <w:pPr>
              <w:spacing w:after="0" w:line="240" w:lineRule="auto"/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 xml:space="preserve">Bod varu nebo počáteční bod varu </w:t>
            </w:r>
          </w:p>
          <w:p w:rsidR="003E30B8" w:rsidRPr="000324E2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a rozmezí bodu varu</w:t>
            </w:r>
          </w:p>
        </w:tc>
        <w:tc>
          <w:tcPr>
            <w:tcW w:w="5492" w:type="dxa"/>
          </w:tcPr>
          <w:p w:rsidR="003E30B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Hořlavost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Nehořlavý, protože neobsahuje hořlavé látky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Dolní a horní mezní hodnota výbušnosti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Nevýbušný, protože neobsahuje výbušné látky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lastRenderedPageBreak/>
              <w:t>Bod vzplanutí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Není aplikovatelný</w:t>
            </w:r>
            <w:r w:rsidR="00CE63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E631E" w:rsidRPr="003E30B8">
              <w:rPr>
                <w:rFonts w:ascii="Times New Roman" w:hAnsi="Times New Roman" w:cs="Times New Roman"/>
                <w:sz w:val="20"/>
                <w:szCs w:val="20"/>
              </w:rPr>
              <w:t>protože neobsahuje hořlavé látky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Teplota samovznícení</w:t>
            </w:r>
          </w:p>
        </w:tc>
        <w:tc>
          <w:tcPr>
            <w:tcW w:w="5492" w:type="dxa"/>
          </w:tcPr>
          <w:p w:rsidR="003E30B8" w:rsidRPr="003E30B8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Teplota rozkladu</w:t>
            </w:r>
          </w:p>
        </w:tc>
        <w:tc>
          <w:tcPr>
            <w:tcW w:w="5492" w:type="dxa"/>
          </w:tcPr>
          <w:p w:rsidR="004C6338" w:rsidRPr="003E30B8" w:rsidRDefault="00CE631E" w:rsidP="004C63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</w:tc>
      </w:tr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5492" w:type="dxa"/>
          </w:tcPr>
          <w:p w:rsidR="00A52E96" w:rsidRPr="00205C08" w:rsidRDefault="00A04F93" w:rsidP="00CE63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5C08">
              <w:rPr>
                <w:rFonts w:ascii="Times New Roman" w:hAnsi="Times New Roman" w:cs="Times New Roman"/>
                <w:sz w:val="20"/>
                <w:szCs w:val="20"/>
              </w:rPr>
              <w:t>,5 – 2,5</w:t>
            </w:r>
          </w:p>
          <w:p w:rsidR="00A04F93" w:rsidRPr="003E30B8" w:rsidRDefault="00A04F93" w:rsidP="00205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C0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i přes extrémní pH není produkt klasifikován jako žíravý pro kůži;</w:t>
            </w:r>
            <w:r w:rsidRPr="00205C08">
              <w:rPr>
                <w:rStyle w:val="viiy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C0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 xml:space="preserve">tento závěr je založen na výsledcích adekvátního testu in vitro: </w:t>
            </w:r>
            <w:r w:rsidR="00205C08" w:rsidRPr="00205C0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 xml:space="preserve">metoda </w:t>
            </w:r>
            <w:r w:rsidRPr="00205C0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OECD 435</w:t>
            </w:r>
            <w:r w:rsidR="00205C08" w:rsidRPr="00205C0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C0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– testování membránové bariéry in vitro pro</w:t>
            </w:r>
            <w:r w:rsidR="00205C0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 </w:t>
            </w:r>
            <w:r w:rsidRPr="00205C0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poleptání kůže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Kinematická viskozita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Rozpustnost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Ve vodě rozpustný 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Rozdělovací koeficient n-oktanol/voda (logaritmická hodnota)</w:t>
            </w:r>
          </w:p>
        </w:tc>
        <w:tc>
          <w:tcPr>
            <w:tcW w:w="5492" w:type="dxa"/>
          </w:tcPr>
          <w:p w:rsidR="003E30B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Tlak páry</w:t>
            </w:r>
          </w:p>
        </w:tc>
        <w:tc>
          <w:tcPr>
            <w:tcW w:w="5492" w:type="dxa"/>
          </w:tcPr>
          <w:p w:rsidR="003E30B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Hustota a/nebo relativní hustota</w:t>
            </w:r>
          </w:p>
        </w:tc>
        <w:tc>
          <w:tcPr>
            <w:tcW w:w="5492" w:type="dxa"/>
          </w:tcPr>
          <w:p w:rsidR="003F4D88" w:rsidRPr="003E30B8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Relativní hustota páry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Charakteristiky částic</w:t>
            </w:r>
          </w:p>
        </w:tc>
        <w:tc>
          <w:tcPr>
            <w:tcW w:w="5492" w:type="dxa"/>
          </w:tcPr>
          <w:p w:rsidR="00A52E96" w:rsidRPr="003E30B8" w:rsidRDefault="003F4D8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Nevztahuje se </w:t>
            </w:r>
            <w:r w:rsidR="003E30B8" w:rsidRPr="003E30B8">
              <w:rPr>
                <w:rFonts w:ascii="Times New Roman" w:hAnsi="Times New Roman" w:cs="Times New Roman"/>
                <w:sz w:val="20"/>
                <w:szCs w:val="20"/>
              </w:rPr>
              <w:t>(kapalina)</w:t>
            </w:r>
          </w:p>
        </w:tc>
      </w:tr>
    </w:tbl>
    <w:p w:rsidR="00BD7A40" w:rsidRPr="000324E2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9.2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0324E2" w:rsidTr="00BD7A40">
        <w:tc>
          <w:tcPr>
            <w:tcW w:w="3580" w:type="dxa"/>
          </w:tcPr>
          <w:p w:rsidR="00BD7A40" w:rsidRPr="00A04F93" w:rsidRDefault="00A04F93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4F93">
              <w:rPr>
                <w:rFonts w:ascii="Times New Roman" w:hAnsi="Times New Roman" w:cs="Times New Roman"/>
                <w:sz w:val="20"/>
                <w:szCs w:val="20"/>
              </w:rPr>
              <w:t xml:space="preserve">Dynamická viskozita </w:t>
            </w:r>
          </w:p>
        </w:tc>
        <w:tc>
          <w:tcPr>
            <w:tcW w:w="5492" w:type="dxa"/>
          </w:tcPr>
          <w:p w:rsidR="00BD7A40" w:rsidRPr="00A04F93" w:rsidRDefault="00A04F93" w:rsidP="00A04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4F93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 xml:space="preserve">0,16 – 0,4 </w:t>
            </w:r>
            <w:proofErr w:type="spellStart"/>
            <w:proofErr w:type="gramStart"/>
            <w:r w:rsidRPr="00A04F93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Pa.s</w:t>
            </w:r>
            <w:proofErr w:type="spellEnd"/>
            <w:proofErr w:type="gramEnd"/>
            <w:r w:rsidRPr="00A04F93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 xml:space="preserve"> (při 20 °C, Gir.3, Vel. 20)</w:t>
            </w:r>
          </w:p>
        </w:tc>
      </w:tr>
    </w:tbl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10.1</w:t>
      </w:r>
      <w:r w:rsidR="008B62E5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Reaktivita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Za běžných podmínek nejsou známa žádná zvláštní rizika reakce s jinými látkami.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10.2</w:t>
      </w:r>
      <w:r w:rsidR="008B62E5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Chemická stabilita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Za běžných podmínek okolního prostředí při skladování a manipulaci je stabilní.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10.3</w:t>
      </w:r>
      <w:r w:rsidR="008B62E5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Možnost nebezpečných reakcí</w:t>
      </w:r>
    </w:p>
    <w:p w:rsidR="00963B6A" w:rsidRPr="000324E2" w:rsidRDefault="00963B6A" w:rsidP="00963B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Nebezpečné reakce nejsou známy. 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10.4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Podmínky, kterým je třeba zabránit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Žádné zvláštní podmínky nejsou vyžadovány.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10.5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Neslučitelné materiály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Nejsou známy.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10.6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Nebezpečné produkty rozkladu</w:t>
      </w:r>
    </w:p>
    <w:p w:rsidR="00205C08" w:rsidRPr="00444903" w:rsidRDefault="00205C08" w:rsidP="00205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Při vysokých teplotách nebo při požáru se mohou uvolnit potenciálně nebezpečné plyny a páry, jako např. oxid uhelnatý a oxid uhličitý.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11: Toxikologické informace </w:t>
            </w:r>
          </w:p>
        </w:tc>
      </w:tr>
    </w:tbl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11.1</w:t>
      </w:r>
      <w:r w:rsidR="008B62E5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="008B62E5" w:rsidRPr="000324E2">
        <w:rPr>
          <w:rFonts w:ascii="Times New Roman" w:hAnsi="Times New Roman" w:cs="Times New Roman"/>
          <w:b/>
        </w:rPr>
        <w:t>Informace o třídách nebezpečnosti vymezených v nařízení (ES) č. 1272/2008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Metabolismus, </w:t>
      </w:r>
      <w:proofErr w:type="spellStart"/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>toxikokinetika</w:t>
      </w:r>
      <w:proofErr w:type="spellEnd"/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, mechanismus účinku a další informace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Informace o pravděpodobných cestách expozice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Zpožděné a okamžité účinky i chronické účinky krátkodobé a dlouhodobé expozice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>Informace nejsou k dispozici.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Interaktivní účinky </w:t>
      </w:r>
    </w:p>
    <w:p w:rsidR="003F4D88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>Informace nejsou k dispozici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3F4D88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F4D88" w:rsidRPr="000324E2" w:rsidRDefault="003F4D88" w:rsidP="003F4D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3F4D88" w:rsidRPr="000324E2" w:rsidRDefault="003F4D88" w:rsidP="003F4D8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:rsidR="00BD7A40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963B6A" w:rsidRDefault="004C6338" w:rsidP="00963B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ATE směs, orálně: </w:t>
      </w:r>
      <w:r w:rsidR="00963B6A">
        <w:rPr>
          <w:rFonts w:ascii="Times New Roman" w:hAnsi="Times New Roman" w:cs="Times New Roman"/>
          <w:sz w:val="20"/>
          <w:szCs w:val="20"/>
        </w:rPr>
        <w:t>neklasifikováno (žádná významná složka)</w:t>
      </w:r>
    </w:p>
    <w:p w:rsidR="00963B6A" w:rsidRDefault="004C6338" w:rsidP="00963B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ATE směs, dermálně: </w:t>
      </w:r>
      <w:r w:rsidR="00963B6A">
        <w:rPr>
          <w:rFonts w:ascii="Times New Roman" w:hAnsi="Times New Roman" w:cs="Times New Roman"/>
          <w:sz w:val="20"/>
          <w:szCs w:val="20"/>
        </w:rPr>
        <w:t>neklasifikováno (žádná významná složka)</w:t>
      </w:r>
    </w:p>
    <w:p w:rsidR="004C6338" w:rsidRDefault="004C6338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ATE směs, inhalačně: neklasifikováno (žádná významná složka)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:rsidR="00963B6A" w:rsidRDefault="00963B6A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Dráždí kůži. </w:t>
      </w:r>
    </w:p>
    <w:p w:rsidR="00963B6A" w:rsidRPr="00B35D32" w:rsidRDefault="00963B6A" w:rsidP="00B35D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D32">
        <w:rPr>
          <w:rStyle w:val="q4iawc"/>
          <w:rFonts w:ascii="Times New Roman" w:hAnsi="Times New Roman" w:cs="Times New Roman"/>
          <w:sz w:val="20"/>
          <w:szCs w:val="20"/>
        </w:rPr>
        <w:t>Navzdory extrémnímu pH není produkt klasifikován jako žíravý pro kůži;</w:t>
      </w:r>
      <w:r w:rsidRPr="00B35D32">
        <w:rPr>
          <w:rStyle w:val="viiyi"/>
          <w:rFonts w:ascii="Times New Roman" w:hAnsi="Times New Roman" w:cs="Times New Roman"/>
          <w:sz w:val="20"/>
          <w:szCs w:val="20"/>
        </w:rPr>
        <w:t xml:space="preserve"> </w:t>
      </w:r>
      <w:r w:rsidRPr="00B35D32">
        <w:rPr>
          <w:rStyle w:val="q4iawc"/>
          <w:rFonts w:ascii="Times New Roman" w:hAnsi="Times New Roman" w:cs="Times New Roman"/>
          <w:sz w:val="20"/>
          <w:szCs w:val="20"/>
        </w:rPr>
        <w:t>tento závěr je založen na výsledcích adekvátního testu in vitro: OECD 435 – metoda testování membránové bariéry in vitro pro poleptání kůže.</w:t>
      </w:r>
    </w:p>
    <w:p w:rsidR="004C6338" w:rsidRPr="001C34F3" w:rsidRDefault="004C6338" w:rsidP="004C633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1C34F3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:rsidR="004C6338" w:rsidRPr="001C34F3" w:rsidRDefault="004C6338" w:rsidP="004C63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>Způsobuje vážné poškození očí.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proofErr w:type="spellStart"/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Karcinogenita</w:t>
      </w:r>
      <w:proofErr w:type="spellEnd"/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Toxicita pro reprodukci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:rsidR="00BD7A40" w:rsidRDefault="003F4D88" w:rsidP="003F4D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Nebezpečnost při vdechnutí</w:t>
      </w:r>
    </w:p>
    <w:p w:rsidR="00BD7A40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4C6338" w:rsidRDefault="004C633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3B6A" w:rsidRDefault="00963B6A" w:rsidP="004C63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Kyselina mléčná </w:t>
      </w:r>
    </w:p>
    <w:p w:rsidR="00F67315" w:rsidRPr="00963B6A" w:rsidRDefault="00F67315" w:rsidP="00BD7A40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963B6A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963B6A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963B6A">
        <w:rPr>
          <w:rStyle w:val="q4iawc"/>
          <w:rFonts w:ascii="Times New Roman" w:hAnsi="Times New Roman" w:cs="Times New Roman"/>
          <w:sz w:val="20"/>
          <w:szCs w:val="20"/>
        </w:rPr>
        <w:t xml:space="preserve"> orálně, </w:t>
      </w:r>
      <w:r w:rsidR="00963B6A" w:rsidRPr="00963B6A">
        <w:rPr>
          <w:rStyle w:val="q4iawc"/>
          <w:rFonts w:ascii="Times New Roman" w:hAnsi="Times New Roman" w:cs="Times New Roman"/>
          <w:sz w:val="20"/>
          <w:szCs w:val="20"/>
        </w:rPr>
        <w:t>potkan</w:t>
      </w:r>
      <w:r w:rsidRPr="00963B6A">
        <w:rPr>
          <w:rStyle w:val="q4iawc"/>
          <w:rFonts w:ascii="Times New Roman" w:hAnsi="Times New Roman" w:cs="Times New Roman"/>
          <w:sz w:val="20"/>
          <w:szCs w:val="20"/>
        </w:rPr>
        <w:t xml:space="preserve">: </w:t>
      </w:r>
      <w:r w:rsidR="00963B6A" w:rsidRPr="00963B6A">
        <w:rPr>
          <w:rStyle w:val="q4iawc"/>
          <w:rFonts w:ascii="Times New Roman" w:hAnsi="Times New Roman" w:cs="Times New Roman"/>
          <w:sz w:val="20"/>
          <w:szCs w:val="20"/>
        </w:rPr>
        <w:t>&gt; 2 000 mg/kg</w:t>
      </w:r>
    </w:p>
    <w:p w:rsidR="00F67315" w:rsidRPr="00963B6A" w:rsidRDefault="00F67315" w:rsidP="00BD7A40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963B6A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963B6A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963B6A">
        <w:rPr>
          <w:rStyle w:val="q4iawc"/>
          <w:rFonts w:ascii="Times New Roman" w:hAnsi="Times New Roman" w:cs="Times New Roman"/>
          <w:sz w:val="20"/>
          <w:szCs w:val="20"/>
        </w:rPr>
        <w:t xml:space="preserve"> dermální, králík: &gt; 2 000 mg/kg</w:t>
      </w:r>
    </w:p>
    <w:p w:rsidR="00963B6A" w:rsidRPr="00963B6A" w:rsidRDefault="00963B6A" w:rsidP="00963B6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63B6A">
        <w:rPr>
          <w:rStyle w:val="q4iawc"/>
          <w:rFonts w:ascii="Times New Roman" w:hAnsi="Times New Roman" w:cs="Times New Roman"/>
          <w:sz w:val="20"/>
          <w:szCs w:val="20"/>
        </w:rPr>
        <w:t>LC</w:t>
      </w:r>
      <w:r w:rsidRPr="00963B6A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963B6A">
        <w:rPr>
          <w:rStyle w:val="q4iawc"/>
          <w:rFonts w:ascii="Times New Roman" w:hAnsi="Times New Roman" w:cs="Times New Roman"/>
          <w:sz w:val="20"/>
          <w:szCs w:val="20"/>
        </w:rPr>
        <w:t xml:space="preserve"> inhalačně, potkan: </w:t>
      </w:r>
      <w:r w:rsidRPr="00963B6A">
        <w:rPr>
          <w:rFonts w:ascii="Times New Roman" w:hAnsi="Times New Roman" w:cs="Times New Roman"/>
          <w:sz w:val="20"/>
          <w:szCs w:val="20"/>
        </w:rPr>
        <w:t>&gt; 7,94 mg/l, 4 hod.</w:t>
      </w:r>
    </w:p>
    <w:p w:rsidR="008B62E5" w:rsidRPr="000324E2" w:rsidRDefault="008B62E5" w:rsidP="008B62E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11.2. Informace o další nebezpečnosti</w:t>
      </w:r>
    </w:p>
    <w:p w:rsidR="008B62E5" w:rsidRPr="000324E2" w:rsidRDefault="00AB6363" w:rsidP="00BD7A40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iCs/>
          <w:sz w:val="20"/>
          <w:szCs w:val="20"/>
          <w:u w:val="single"/>
        </w:rPr>
        <w:t>Vlastnosti vyvolávající narušení činnosti endokrinního systému</w:t>
      </w:r>
    </w:p>
    <w:p w:rsidR="00A0478E" w:rsidRDefault="00A0478E" w:rsidP="00A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8E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</w:t>
      </w:r>
      <w:r>
        <w:rPr>
          <w:rFonts w:ascii="Times New Roman" w:hAnsi="Times New Roman" w:cs="Times New Roman"/>
          <w:sz w:val="20"/>
          <w:szCs w:val="20"/>
        </w:rPr>
        <w:t>ém</w:t>
      </w:r>
      <w:r w:rsidRPr="00A0478E">
        <w:rPr>
          <w:rFonts w:ascii="Times New Roman" w:hAnsi="Times New Roman" w:cs="Times New Roman"/>
          <w:sz w:val="20"/>
          <w:szCs w:val="20"/>
        </w:rPr>
        <w:t xml:space="preserve"> seznam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A0478E">
        <w:rPr>
          <w:rFonts w:ascii="Times New Roman" w:hAnsi="Times New Roman" w:cs="Times New Roman"/>
          <w:sz w:val="20"/>
          <w:szCs w:val="20"/>
        </w:rPr>
        <w:t xml:space="preserve"> potenciálních nebo podezřelých látek narušujících endokrinní systém s účinky na lidské zdraví, které jsou předmětem hodnocení.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12: Ekologické informace  </w:t>
            </w:r>
          </w:p>
        </w:tc>
      </w:tr>
    </w:tbl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12.1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Toxicita</w:t>
      </w:r>
    </w:p>
    <w:p w:rsidR="00274810" w:rsidRDefault="00274810" w:rsidP="00274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Produkt není považován za nebezpečný pro životní prostředí.</w:t>
      </w:r>
    </w:p>
    <w:p w:rsidR="00B35D32" w:rsidRDefault="00B35D32" w:rsidP="00F673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Kyselina mléčná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A0478E" w:rsidRPr="00F20434" w:rsidTr="00A0478E">
        <w:tc>
          <w:tcPr>
            <w:tcW w:w="2977" w:type="dxa"/>
          </w:tcPr>
          <w:p w:rsidR="00A0478E" w:rsidRPr="00B35D32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B35D3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B35D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B35D32" w:rsidRDefault="00B35D32" w:rsidP="00B35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 xml:space="preserve">195 </w:t>
            </w:r>
            <w:proofErr w:type="spellStart"/>
            <w:r w:rsidRPr="00B35D32">
              <w:rPr>
                <w:rFonts w:ascii="Times New Roman" w:hAnsi="Times New Roman" w:cs="Times New Roman"/>
                <w:i/>
                <w:sz w:val="20"/>
                <w:szCs w:val="20"/>
              </w:rPr>
              <w:t>Danio</w:t>
            </w:r>
            <w:proofErr w:type="spellEnd"/>
            <w:r w:rsidRPr="00B35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35D32">
              <w:rPr>
                <w:rFonts w:ascii="Times New Roman" w:hAnsi="Times New Roman" w:cs="Times New Roman"/>
                <w:i/>
                <w:sz w:val="20"/>
                <w:szCs w:val="20"/>
              </w:rPr>
              <w:t>rerio</w:t>
            </w:r>
            <w:proofErr w:type="spellEnd"/>
          </w:p>
        </w:tc>
      </w:tr>
      <w:tr w:rsidR="00A0478E" w:rsidRPr="00F20434" w:rsidTr="00A0478E">
        <w:tc>
          <w:tcPr>
            <w:tcW w:w="2977" w:type="dxa"/>
          </w:tcPr>
          <w:p w:rsidR="00A0478E" w:rsidRPr="00B35D32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B35D3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B35D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B35D32" w:rsidRDefault="00B35D32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 xml:space="preserve">130 </w:t>
            </w:r>
            <w:proofErr w:type="spellStart"/>
            <w:r w:rsidRPr="00B35D32">
              <w:rPr>
                <w:rFonts w:ascii="Times New Roman" w:hAnsi="Times New Roman" w:cs="Times New Roman"/>
                <w:i/>
                <w:sz w:val="20"/>
                <w:szCs w:val="20"/>
              </w:rPr>
              <w:t>Daphnia</w:t>
            </w:r>
            <w:proofErr w:type="spellEnd"/>
            <w:r w:rsidRPr="00B35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35D32">
              <w:rPr>
                <w:rFonts w:ascii="Times New Roman" w:hAnsi="Times New Roman" w:cs="Times New Roman"/>
                <w:i/>
                <w:sz w:val="20"/>
                <w:szCs w:val="20"/>
              </w:rPr>
              <w:t>magna</w:t>
            </w:r>
            <w:proofErr w:type="spellEnd"/>
          </w:p>
        </w:tc>
      </w:tr>
      <w:tr w:rsidR="00A0478E" w:rsidRPr="00F20434" w:rsidTr="00A0478E">
        <w:tc>
          <w:tcPr>
            <w:tcW w:w="2977" w:type="dxa"/>
          </w:tcPr>
          <w:p w:rsidR="00A0478E" w:rsidRPr="00B35D32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B35D3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50,</w:t>
            </w: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>72 hod., řasy (mg.l</w:t>
            </w:r>
            <w:r w:rsidRPr="00B35D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B35D32" w:rsidRDefault="00B35D32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D32">
              <w:rPr>
                <w:rFonts w:ascii="Times New Roman" w:hAnsi="Times New Roman" w:cs="Times New Roman"/>
                <w:sz w:val="20"/>
                <w:szCs w:val="20"/>
              </w:rPr>
              <w:t xml:space="preserve">2 800 </w:t>
            </w:r>
            <w:proofErr w:type="spellStart"/>
            <w:r w:rsidRPr="00B35D32">
              <w:rPr>
                <w:rFonts w:ascii="Times New Roman" w:hAnsi="Times New Roman" w:cs="Times New Roman"/>
                <w:i/>
                <w:sz w:val="20"/>
                <w:szCs w:val="20"/>
              </w:rPr>
              <w:t>Selenastrum</w:t>
            </w:r>
            <w:proofErr w:type="spellEnd"/>
            <w:r w:rsidRPr="00B35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35D32">
              <w:rPr>
                <w:rFonts w:ascii="Times New Roman" w:hAnsi="Times New Roman" w:cs="Times New Roman"/>
                <w:i/>
                <w:sz w:val="20"/>
                <w:szCs w:val="20"/>
              </w:rPr>
              <w:t>capricornutum</w:t>
            </w:r>
            <w:proofErr w:type="spellEnd"/>
          </w:p>
        </w:tc>
      </w:tr>
    </w:tbl>
    <w:p w:rsidR="00BD7A40" w:rsidRPr="00A047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12.2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 xml:space="preserve">Perzistence a </w:t>
      </w:r>
      <w:r w:rsidRPr="00A0478E">
        <w:rPr>
          <w:rFonts w:ascii="Times New Roman" w:hAnsi="Times New Roman" w:cs="Times New Roman"/>
          <w:b/>
        </w:rPr>
        <w:t>rozložitelnost</w:t>
      </w:r>
    </w:p>
    <w:p w:rsidR="00B35D32" w:rsidRDefault="00B35D32" w:rsidP="00F20434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>
        <w:rPr>
          <w:rStyle w:val="jlqj4b"/>
          <w:rFonts w:ascii="Times New Roman" w:hAnsi="Times New Roman" w:cs="Times New Roman"/>
          <w:sz w:val="20"/>
          <w:szCs w:val="20"/>
        </w:rPr>
        <w:t>Snadno biologicky rozložitelný.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12.3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Bioakumulační potenciál</w:t>
      </w:r>
    </w:p>
    <w:p w:rsidR="001F0B33" w:rsidRDefault="001F0B33" w:rsidP="001F0B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</w:t>
      </w:r>
      <w:r w:rsidR="00F20434">
        <w:rPr>
          <w:rStyle w:val="jlqj4b"/>
          <w:rFonts w:ascii="Times New Roman" w:hAnsi="Times New Roman" w:cs="Times New Roman"/>
          <w:sz w:val="20"/>
          <w:szCs w:val="20"/>
        </w:rPr>
        <w:t xml:space="preserve">pro směs </w:t>
      </w:r>
      <w:r w:rsidRPr="000324E2">
        <w:rPr>
          <w:rStyle w:val="jlqj4b"/>
          <w:rFonts w:ascii="Times New Roman" w:hAnsi="Times New Roman" w:cs="Times New Roman"/>
          <w:sz w:val="20"/>
          <w:szCs w:val="20"/>
        </w:rPr>
        <w:t>nejsou k dispozici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B35D32" w:rsidRDefault="00B35D32" w:rsidP="001F0B33">
      <w:pPr>
        <w:spacing w:after="0" w:line="240" w:lineRule="auto"/>
        <w:rPr>
          <w:rStyle w:val="oj-italic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Kyselina mléčná </w:t>
      </w:r>
      <w:r w:rsidR="00F20434">
        <w:rPr>
          <w:rFonts w:ascii="Times New Roman" w:hAnsi="Times New Roman" w:cs="Times New Roman"/>
          <w:b/>
          <w:sz w:val="20"/>
          <w:szCs w:val="20"/>
        </w:rPr>
        <w:tab/>
      </w:r>
      <w:r w:rsidR="00A0478E">
        <w:rPr>
          <w:rFonts w:ascii="Times New Roman" w:hAnsi="Times New Roman" w:cs="Times New Roman"/>
          <w:b/>
          <w:sz w:val="20"/>
          <w:szCs w:val="20"/>
        </w:rPr>
        <w:tab/>
      </w:r>
      <w:r w:rsidR="008468E8">
        <w:rPr>
          <w:rStyle w:val="oj-italic"/>
          <w:rFonts w:ascii="Times New Roman" w:hAnsi="Times New Roman" w:cs="Times New Roman"/>
          <w:sz w:val="20"/>
          <w:szCs w:val="20"/>
        </w:rPr>
        <w:t xml:space="preserve">není </w:t>
      </w:r>
      <w:proofErr w:type="spellStart"/>
      <w:r w:rsidR="008468E8">
        <w:rPr>
          <w:rStyle w:val="oj-italic"/>
          <w:rFonts w:ascii="Times New Roman" w:hAnsi="Times New Roman" w:cs="Times New Roman"/>
          <w:sz w:val="20"/>
          <w:szCs w:val="20"/>
        </w:rPr>
        <w:t>bioakumulující</w:t>
      </w:r>
      <w:proofErr w:type="spellEnd"/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12.4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Mobilita v půdě</w:t>
      </w:r>
    </w:p>
    <w:p w:rsidR="00F20434" w:rsidRDefault="00F20434" w:rsidP="00F204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pro směs </w:t>
      </w:r>
      <w:r w:rsidRPr="000324E2">
        <w:rPr>
          <w:rStyle w:val="jlqj4b"/>
          <w:rFonts w:ascii="Times New Roman" w:hAnsi="Times New Roman" w:cs="Times New Roman"/>
          <w:sz w:val="20"/>
          <w:szCs w:val="20"/>
        </w:rPr>
        <w:t>nejsou k dispozici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12.5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 xml:space="preserve">Výsledky posouzení PBT a </w:t>
      </w:r>
      <w:proofErr w:type="spellStart"/>
      <w:r w:rsidRPr="000324E2">
        <w:rPr>
          <w:rFonts w:ascii="Times New Roman" w:hAnsi="Times New Roman" w:cs="Times New Roman"/>
          <w:b/>
        </w:rPr>
        <w:t>vPvB</w:t>
      </w:r>
      <w:proofErr w:type="spellEnd"/>
    </w:p>
    <w:p w:rsidR="00A0478E" w:rsidRDefault="00A0478E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478E">
        <w:rPr>
          <w:rFonts w:ascii="Times New Roman" w:hAnsi="Times New Roman" w:cs="Times New Roman"/>
          <w:sz w:val="20"/>
          <w:szCs w:val="20"/>
        </w:rPr>
        <w:t xml:space="preserve">Na základě dostupných údajů produkt neobsahuje žádné PBT ani </w:t>
      </w:r>
      <w:proofErr w:type="spellStart"/>
      <w:r w:rsidRPr="00A0478E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A0478E">
        <w:rPr>
          <w:rFonts w:ascii="Times New Roman" w:hAnsi="Times New Roman" w:cs="Times New Roman"/>
          <w:sz w:val="20"/>
          <w:szCs w:val="20"/>
        </w:rPr>
        <w:t xml:space="preserve"> v</w:t>
      </w:r>
      <w:r>
        <w:rPr>
          <w:rFonts w:ascii="Times New Roman" w:hAnsi="Times New Roman" w:cs="Times New Roman"/>
          <w:sz w:val="20"/>
          <w:szCs w:val="20"/>
        </w:rPr>
        <w:t xml:space="preserve"> koncentraci </w:t>
      </w:r>
      <w:r w:rsidRPr="00A0478E">
        <w:rPr>
          <w:rFonts w:ascii="Times New Roman" w:hAnsi="Times New Roman" w:cs="Times New Roman"/>
          <w:sz w:val="20"/>
          <w:szCs w:val="20"/>
        </w:rPr>
        <w:t>≥ 0,1 %.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12.6</w:t>
      </w:r>
      <w:r w:rsidR="00627231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</w:t>
      </w:r>
      <w:r w:rsidR="00627231" w:rsidRPr="000324E2">
        <w:rPr>
          <w:rFonts w:ascii="Times New Roman" w:hAnsi="Times New Roman" w:cs="Times New Roman"/>
          <w:b/>
        </w:rPr>
        <w:t>Vlastnosti vyvolávající narušení činnosti endokrinního systému</w:t>
      </w:r>
    </w:p>
    <w:p w:rsidR="00A0478E" w:rsidRDefault="00A0478E" w:rsidP="00A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8E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</w:t>
      </w:r>
      <w:r>
        <w:rPr>
          <w:rFonts w:ascii="Times New Roman" w:hAnsi="Times New Roman" w:cs="Times New Roman"/>
          <w:sz w:val="20"/>
          <w:szCs w:val="20"/>
        </w:rPr>
        <w:t>ém</w:t>
      </w:r>
      <w:r w:rsidRPr="00A0478E">
        <w:rPr>
          <w:rFonts w:ascii="Times New Roman" w:hAnsi="Times New Roman" w:cs="Times New Roman"/>
          <w:sz w:val="20"/>
          <w:szCs w:val="20"/>
        </w:rPr>
        <w:t xml:space="preserve"> seznam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A0478E">
        <w:rPr>
          <w:rFonts w:ascii="Times New Roman" w:hAnsi="Times New Roman" w:cs="Times New Roman"/>
          <w:sz w:val="20"/>
          <w:szCs w:val="20"/>
        </w:rPr>
        <w:t xml:space="preserve"> potenciálních nebo podezřelých látek narušujících endokrinní systém s účinky na </w:t>
      </w:r>
      <w:r>
        <w:rPr>
          <w:rFonts w:ascii="Times New Roman" w:hAnsi="Times New Roman" w:cs="Times New Roman"/>
          <w:sz w:val="20"/>
          <w:szCs w:val="20"/>
        </w:rPr>
        <w:t>životní prostředí</w:t>
      </w:r>
      <w:r w:rsidRPr="00A0478E">
        <w:rPr>
          <w:rFonts w:ascii="Times New Roman" w:hAnsi="Times New Roman" w:cs="Times New Roman"/>
          <w:sz w:val="20"/>
          <w:szCs w:val="20"/>
        </w:rPr>
        <w:t>, které jsou předmětem hodnocení.</w:t>
      </w:r>
    </w:p>
    <w:p w:rsidR="008468E8" w:rsidRDefault="008468E8" w:rsidP="00627231">
      <w:pPr>
        <w:spacing w:before="120" w:after="0" w:line="240" w:lineRule="auto"/>
        <w:rPr>
          <w:rFonts w:ascii="Times New Roman" w:hAnsi="Times New Roman" w:cs="Times New Roman"/>
          <w:b/>
        </w:rPr>
      </w:pPr>
    </w:p>
    <w:p w:rsidR="00627231" w:rsidRPr="000324E2" w:rsidRDefault="00627231" w:rsidP="0062723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lastRenderedPageBreak/>
        <w:t>12.7. Jiné nepříznivé účinky</w:t>
      </w:r>
    </w:p>
    <w:p w:rsidR="001F0B33" w:rsidRDefault="001F0B33" w:rsidP="001F0B33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>Používat tento produkt v souladu se správnými pracovními postupy.</w:t>
      </w:r>
      <w:r w:rsidRPr="000324E2">
        <w:rPr>
          <w:rStyle w:val="viiyi"/>
          <w:rFonts w:ascii="Times New Roman" w:hAnsi="Times New Roman" w:cs="Times New Roman"/>
          <w:sz w:val="20"/>
          <w:szCs w:val="20"/>
        </w:rPr>
        <w:t xml:space="preserve"> Zamezit úniku do životního prostředí. </w:t>
      </w:r>
      <w:r w:rsidR="00F20434" w:rsidRPr="001C34F3">
        <w:rPr>
          <w:rStyle w:val="jlqj4b"/>
          <w:rFonts w:ascii="Times New Roman" w:hAnsi="Times New Roman" w:cs="Times New Roman"/>
          <w:sz w:val="20"/>
          <w:szCs w:val="20"/>
        </w:rPr>
        <w:t>Pokud se produkt dostane do vodních toků nebo kontaminuje půdu nebo vegetaci, informovat o tom příslušné úřady.</w:t>
      </w:r>
    </w:p>
    <w:p w:rsidR="00B35D32" w:rsidRPr="000324E2" w:rsidRDefault="00B35D32" w:rsidP="001F0B33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13: Pokyny pro odstraňování </w:t>
            </w:r>
          </w:p>
        </w:tc>
      </w:tr>
    </w:tbl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1" w:name="_Toc66779669"/>
      <w:r w:rsidRPr="000324E2">
        <w:rPr>
          <w:rFonts w:ascii="Times New Roman" w:hAnsi="Times New Roman" w:cs="Times New Roman"/>
          <w:b/>
        </w:rPr>
        <w:t>13.1</w:t>
      </w:r>
      <w:bookmarkEnd w:id="1"/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Metody nakládání s odpady</w:t>
      </w:r>
    </w:p>
    <w:p w:rsidR="00303D67" w:rsidRPr="000324E2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:rsidR="00AC5CBD" w:rsidRPr="000324E2" w:rsidRDefault="00BD7A40" w:rsidP="00AC5C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Nesmí se odstraňovat společně s komunálními odpady. Ne</w:t>
      </w:r>
      <w:r w:rsidR="00F20434">
        <w:rPr>
          <w:rFonts w:ascii="Times New Roman" w:hAnsi="Times New Roman" w:cs="Times New Roman"/>
          <w:sz w:val="20"/>
          <w:szCs w:val="20"/>
        </w:rPr>
        <w:t>vylévat</w:t>
      </w:r>
      <w:r w:rsidRPr="000324E2">
        <w:rPr>
          <w:rFonts w:ascii="Times New Roman" w:hAnsi="Times New Roman" w:cs="Times New Roman"/>
          <w:sz w:val="20"/>
          <w:szCs w:val="20"/>
        </w:rPr>
        <w:t xml:space="preserve"> do kanalizace.</w:t>
      </w:r>
      <w:r w:rsidR="00AC5CBD" w:rsidRPr="000324E2">
        <w:rPr>
          <w:rFonts w:ascii="Times New Roman" w:hAnsi="Times New Roman" w:cs="Times New Roman"/>
          <w:sz w:val="20"/>
          <w:szCs w:val="20"/>
        </w:rPr>
        <w:t xml:space="preserve"> 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:rsidR="00BD7A40" w:rsidRPr="000324E2" w:rsidRDefault="00AC5CBD" w:rsidP="001F0B33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Vhodné odstraňování výrobku nebo obalu: výrobek recyklovat, pokud je to možné, nebo spalovat ve schváleném zařízení. Spalování nebo skládkování zvážit jen v případě, že není možná recyklace.</w:t>
      </w:r>
      <w:r w:rsidR="00473757" w:rsidRPr="000324E2">
        <w:rPr>
          <w:rFonts w:ascii="Times New Roman" w:hAnsi="Times New Roman" w:cs="Times New Roman"/>
          <w:sz w:val="20"/>
          <w:szCs w:val="20"/>
        </w:rPr>
        <w:t xml:space="preserve"> Znečištěné obaly musí být před recyklací vyčištěny.</w:t>
      </w:r>
      <w:r w:rsidR="00713FD7" w:rsidRPr="000324E2">
        <w:rPr>
          <w:rFonts w:ascii="Times New Roman" w:hAnsi="Times New Roman" w:cs="Times New Roman"/>
          <w:sz w:val="20"/>
          <w:szCs w:val="20"/>
        </w:rPr>
        <w:t xml:space="preserve"> Vyčištěné obaly recyklovat. </w:t>
      </w:r>
    </w:p>
    <w:p w:rsidR="00713FD7" w:rsidRPr="000324E2" w:rsidRDefault="00713FD7" w:rsidP="004737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5CBD" w:rsidRPr="000324E2" w:rsidRDefault="00AC5CBD" w:rsidP="00AC5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Katalogová čísla druhů odpadů zařazuje původce odpadu na základě použití výrobku.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Doporučený kód odpadu:</w:t>
      </w:r>
      <w:r w:rsidR="001F0B33" w:rsidRPr="000324E2">
        <w:rPr>
          <w:rFonts w:ascii="Times New Roman" w:hAnsi="Times New Roman" w:cs="Times New Roman"/>
          <w:sz w:val="20"/>
          <w:szCs w:val="20"/>
        </w:rPr>
        <w:t xml:space="preserve"> 02 01 09 Agrochemické odpady neuvedené pod číslem 02 01 08</w:t>
      </w:r>
    </w:p>
    <w:p w:rsidR="00BD7A40" w:rsidRPr="000324E2" w:rsidRDefault="00303D67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Prázdné o</w:t>
      </w:r>
      <w:r w:rsidR="00BD7A40" w:rsidRPr="000324E2">
        <w:rPr>
          <w:rFonts w:ascii="Times New Roman" w:hAnsi="Times New Roman" w:cs="Times New Roman"/>
          <w:sz w:val="20"/>
          <w:szCs w:val="20"/>
        </w:rPr>
        <w:t xml:space="preserve">baly: </w:t>
      </w:r>
      <w:r w:rsidR="00BD7A40" w:rsidRPr="000324E2">
        <w:rPr>
          <w:rFonts w:ascii="Times New Roman" w:hAnsi="Times New Roman" w:cs="Times New Roman"/>
          <w:sz w:val="20"/>
          <w:szCs w:val="20"/>
        </w:rPr>
        <w:tab/>
        <w:t xml:space="preserve">podskupina 15 01 </w:t>
      </w:r>
      <w:proofErr w:type="spellStart"/>
      <w:r w:rsidR="00BD7A40" w:rsidRPr="000324E2">
        <w:rPr>
          <w:rFonts w:ascii="Times New Roman" w:hAnsi="Times New Roman" w:cs="Times New Roman"/>
          <w:sz w:val="20"/>
          <w:szCs w:val="20"/>
        </w:rPr>
        <w:t>xx</w:t>
      </w:r>
      <w:proofErr w:type="spellEnd"/>
    </w:p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:rsidR="00BD7A40" w:rsidRPr="000324E2" w:rsidRDefault="00BD7A40" w:rsidP="006F7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C4192D" w:rsidRPr="000324E2">
        <w:rPr>
          <w:rFonts w:ascii="Times New Roman" w:hAnsi="Times New Roman" w:cs="Times New Roman"/>
          <w:sz w:val="20"/>
          <w:szCs w:val="20"/>
        </w:rPr>
        <w:t>541</w:t>
      </w:r>
      <w:r w:rsidRPr="000324E2">
        <w:rPr>
          <w:rFonts w:ascii="Times New Roman" w:hAnsi="Times New Roman" w:cs="Times New Roman"/>
          <w:sz w:val="20"/>
          <w:szCs w:val="20"/>
        </w:rPr>
        <w:t>/20</w:t>
      </w:r>
      <w:r w:rsidR="00C4192D" w:rsidRPr="000324E2">
        <w:rPr>
          <w:rFonts w:ascii="Times New Roman" w:hAnsi="Times New Roman" w:cs="Times New Roman"/>
          <w:sz w:val="20"/>
          <w:szCs w:val="20"/>
        </w:rPr>
        <w:t>20</w:t>
      </w:r>
      <w:r w:rsidRPr="000324E2">
        <w:rPr>
          <w:rFonts w:ascii="Times New Roman" w:hAnsi="Times New Roman" w:cs="Times New Roman"/>
          <w:sz w:val="20"/>
          <w:szCs w:val="20"/>
        </w:rPr>
        <w:t xml:space="preserve"> Sb. o odpadech, ve znění pozdějších předpisů. Jestliže se tento výrobek a jeho obal stanou odpadem, musí konečný uživatel přidělit odpovídající kód odpadu podle vyhlášky č. </w:t>
      </w:r>
      <w:r w:rsidR="00C4192D" w:rsidRPr="000324E2">
        <w:rPr>
          <w:rFonts w:ascii="Times New Roman" w:hAnsi="Times New Roman" w:cs="Times New Roman"/>
          <w:sz w:val="20"/>
          <w:szCs w:val="20"/>
        </w:rPr>
        <w:t>8</w:t>
      </w:r>
      <w:r w:rsidR="001C0C12" w:rsidRPr="000324E2">
        <w:rPr>
          <w:rFonts w:ascii="Times New Roman" w:hAnsi="Times New Roman" w:cs="Times New Roman"/>
          <w:sz w:val="20"/>
          <w:szCs w:val="20"/>
        </w:rPr>
        <w:t>/20</w:t>
      </w:r>
      <w:r w:rsidR="00C4192D" w:rsidRPr="000324E2">
        <w:rPr>
          <w:rFonts w:ascii="Times New Roman" w:hAnsi="Times New Roman" w:cs="Times New Roman"/>
          <w:sz w:val="20"/>
          <w:szCs w:val="20"/>
        </w:rPr>
        <w:t>21</w:t>
      </w:r>
      <w:r w:rsidRPr="000324E2">
        <w:rPr>
          <w:rFonts w:ascii="Times New Roman" w:hAnsi="Times New Roman" w:cs="Times New Roman"/>
          <w:sz w:val="20"/>
          <w:szCs w:val="20"/>
        </w:rPr>
        <w:t xml:space="preserve"> Sb., ve znění pozdějších předpisů. Zákon č. 477/2001 Sb. o obalech, ve znění pozdějších předpisů.</w:t>
      </w:r>
      <w:r w:rsidRPr="000324E2">
        <w:rPr>
          <w:rFonts w:ascii="Times New Roman" w:hAnsi="Times New Roman" w:cs="Times New Roman"/>
          <w:sz w:val="20"/>
          <w:szCs w:val="20"/>
        </w:rPr>
        <w:tab/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14: Informace pro přepravu </w:t>
            </w:r>
          </w:p>
        </w:tc>
      </w:tr>
    </w:tbl>
    <w:p w:rsidR="008468E8" w:rsidRPr="00444903" w:rsidRDefault="008468E8" w:rsidP="008468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Toc66779673"/>
      <w:r w:rsidRPr="00444903">
        <w:rPr>
          <w:rFonts w:ascii="Times New Roman" w:hAnsi="Times New Roman" w:cs="Times New Roman"/>
          <w:sz w:val="20"/>
          <w:szCs w:val="20"/>
        </w:rPr>
        <w:t>Nepodléhá předpisům pro přepravu nebezpečných věcí (ADR, RID, ADN, ICAO/IATA, IMDG).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6"/>
        <w:gridCol w:w="4528"/>
      </w:tblGrid>
      <w:tr w:rsidR="008468E8" w:rsidRPr="000324E2" w:rsidTr="00BD7A40">
        <w:tc>
          <w:tcPr>
            <w:tcW w:w="4497" w:type="dxa"/>
          </w:tcPr>
          <w:p w:rsidR="008468E8" w:rsidRPr="000324E2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14.1. </w:t>
            </w:r>
            <w:r w:rsidRPr="000324E2">
              <w:rPr>
                <w:rFonts w:ascii="Times New Roman" w:hAnsi="Times New Roman" w:cs="Times New Roman"/>
                <w:b/>
                <w:bCs/>
              </w:rPr>
              <w:t>UN číslo nebo ID číslo</w:t>
            </w:r>
          </w:p>
        </w:tc>
        <w:tc>
          <w:tcPr>
            <w:tcW w:w="4605" w:type="dxa"/>
            <w:vAlign w:val="center"/>
          </w:tcPr>
          <w:p w:rsidR="008468E8" w:rsidRPr="00444903" w:rsidRDefault="008468E8" w:rsidP="00B12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903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8468E8" w:rsidRPr="000324E2" w:rsidTr="00BD7A40">
        <w:tc>
          <w:tcPr>
            <w:tcW w:w="4497" w:type="dxa"/>
          </w:tcPr>
          <w:p w:rsidR="008468E8" w:rsidRPr="000324E2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14.2. </w:t>
            </w:r>
            <w:r w:rsidRPr="000324E2">
              <w:rPr>
                <w:rFonts w:ascii="Times New Roman" w:hAnsi="Times New Roman" w:cs="Times New Roman"/>
                <w:b/>
                <w:bCs/>
              </w:rPr>
              <w:t>Oficiální (OSN) pojmenování pro přepravu</w:t>
            </w:r>
          </w:p>
        </w:tc>
        <w:tc>
          <w:tcPr>
            <w:tcW w:w="4605" w:type="dxa"/>
            <w:vAlign w:val="center"/>
          </w:tcPr>
          <w:p w:rsidR="008468E8" w:rsidRPr="00444903" w:rsidRDefault="008468E8" w:rsidP="00B12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903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8468E8" w:rsidRPr="000324E2" w:rsidTr="00BD7A40">
        <w:tc>
          <w:tcPr>
            <w:tcW w:w="4497" w:type="dxa"/>
          </w:tcPr>
          <w:p w:rsidR="008468E8" w:rsidRPr="000324E2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14.3. Třída/třídy nebezpečnosti pro přepravu </w:t>
            </w:r>
          </w:p>
        </w:tc>
        <w:tc>
          <w:tcPr>
            <w:tcW w:w="4605" w:type="dxa"/>
            <w:vAlign w:val="center"/>
          </w:tcPr>
          <w:p w:rsidR="008468E8" w:rsidRPr="00444903" w:rsidRDefault="008468E8" w:rsidP="00B12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903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8468E8" w:rsidRPr="000324E2" w:rsidTr="00BD7A40">
        <w:tc>
          <w:tcPr>
            <w:tcW w:w="4497" w:type="dxa"/>
          </w:tcPr>
          <w:p w:rsidR="008468E8" w:rsidRPr="000324E2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14.4. Obalová skupina </w:t>
            </w:r>
          </w:p>
        </w:tc>
        <w:tc>
          <w:tcPr>
            <w:tcW w:w="4605" w:type="dxa"/>
            <w:vAlign w:val="center"/>
          </w:tcPr>
          <w:p w:rsidR="008468E8" w:rsidRPr="00444903" w:rsidRDefault="008468E8" w:rsidP="00B12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903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8468E8" w:rsidRPr="000324E2" w:rsidTr="00BD7A40">
        <w:tc>
          <w:tcPr>
            <w:tcW w:w="4497" w:type="dxa"/>
          </w:tcPr>
          <w:p w:rsidR="008468E8" w:rsidRPr="000324E2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14.5. Nebezpečnost pro životní prostředí </w:t>
            </w:r>
          </w:p>
        </w:tc>
        <w:tc>
          <w:tcPr>
            <w:tcW w:w="4605" w:type="dxa"/>
            <w:vAlign w:val="center"/>
          </w:tcPr>
          <w:p w:rsidR="008468E8" w:rsidRPr="00444903" w:rsidRDefault="008468E8" w:rsidP="00B12CA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90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44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468E8" w:rsidRPr="000324E2" w:rsidTr="00BD7A40">
        <w:tc>
          <w:tcPr>
            <w:tcW w:w="4497" w:type="dxa"/>
          </w:tcPr>
          <w:p w:rsidR="008468E8" w:rsidRPr="000324E2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14.6. Zvláštní bezpečnostní opatření pro uživatele </w:t>
            </w:r>
          </w:p>
        </w:tc>
        <w:tc>
          <w:tcPr>
            <w:tcW w:w="4605" w:type="dxa"/>
            <w:vAlign w:val="center"/>
          </w:tcPr>
          <w:p w:rsidR="008468E8" w:rsidRPr="000324E2" w:rsidRDefault="008468E8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Odkaz v oddílech 4 až 8</w:t>
            </w:r>
          </w:p>
        </w:tc>
      </w:tr>
      <w:tr w:rsidR="008468E8" w:rsidRPr="000324E2" w:rsidTr="00BD7A40">
        <w:tc>
          <w:tcPr>
            <w:tcW w:w="4497" w:type="dxa"/>
          </w:tcPr>
          <w:p w:rsidR="008468E8" w:rsidRPr="000324E2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>14.7. Námořní hromadná přeprava podle nástrojů IMO</w:t>
            </w:r>
          </w:p>
        </w:tc>
        <w:tc>
          <w:tcPr>
            <w:tcW w:w="4605" w:type="dxa"/>
            <w:vAlign w:val="center"/>
          </w:tcPr>
          <w:p w:rsidR="008468E8" w:rsidRPr="000324E2" w:rsidRDefault="008468E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bookmarkEnd w:id="2"/>
    </w:tbl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15: Informace o předpisech </w:t>
            </w:r>
          </w:p>
        </w:tc>
      </w:tr>
    </w:tbl>
    <w:p w:rsidR="00BD7A40" w:rsidRPr="000324E2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15.1</w:t>
      </w:r>
      <w:r w:rsidR="00CC396C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:rsidR="00271F62" w:rsidRPr="000324E2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SEVESO (prevence závažných havárií): žádné.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Omezení týkající se směsi nebo látek obsažených podle přílohy XVII nařízení REACH: </w:t>
      </w:r>
      <w:r w:rsidR="00F20434" w:rsidRPr="001C34F3">
        <w:rPr>
          <w:rFonts w:ascii="Times New Roman" w:hAnsi="Times New Roman" w:cs="Times New Roman"/>
          <w:sz w:val="20"/>
          <w:szCs w:val="20"/>
        </w:rPr>
        <w:t>bod 3.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:rsidR="00271F62" w:rsidRPr="000324E2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Látky podléhající vykazování vývozu a dovozu podle nařízení (ES) č. 649/2012: žádné. </w:t>
      </w:r>
    </w:p>
    <w:p w:rsidR="00271F62" w:rsidRPr="000324E2" w:rsidRDefault="00271F62" w:rsidP="00271F62">
      <w:pPr>
        <w:spacing w:after="0" w:line="240" w:lineRule="auto"/>
        <w:ind w:left="1560" w:hanging="1560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Látky podléhající úmluvě Rotterdam: žádné.</w:t>
      </w:r>
    </w:p>
    <w:p w:rsidR="00271F62" w:rsidRPr="000324E2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Látky podléhající Stockholmské úmluvy: žádné.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lastRenderedPageBreak/>
        <w:t xml:space="preserve">Nařízení Evropského parlamentu a Rady (ES) č. 1907/2006 o registraci, hodnocení, povolování a omezování chemických látek (REACH), </w:t>
      </w:r>
      <w:r w:rsidR="009607A9" w:rsidRPr="000324E2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Nařízení Evropského parlamentu a Rady (ES) č. 1272/2008 o klasifikaci, označování a balení látek a směsí (CLP), </w:t>
      </w:r>
      <w:r w:rsidR="009607A9" w:rsidRPr="000324E2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2C3AD4" w:rsidRPr="000324E2" w:rsidRDefault="002C3AD4" w:rsidP="002C3AD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Nařízení Evropského parlamentu a Rady (ES) </w:t>
      </w:r>
      <w:r w:rsidRPr="000324E2">
        <w:rPr>
          <w:rFonts w:ascii="Times New Roman" w:hAnsi="Times New Roman" w:cs="Times New Roman"/>
          <w:bCs/>
          <w:sz w:val="20"/>
          <w:szCs w:val="20"/>
        </w:rPr>
        <w:t>č. 648/2004 o detergentech,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Nařízení Evropského parlamentu a Rady (EU) </w:t>
      </w:r>
      <w:r w:rsidRPr="000324E2">
        <w:rPr>
          <w:rFonts w:ascii="Times New Roman" w:hAnsi="Times New Roman" w:cs="Times New Roman"/>
          <w:bCs/>
          <w:sz w:val="20"/>
          <w:szCs w:val="20"/>
        </w:rPr>
        <w:t>č. 528/2012 o dodávání biocidních přípravků na trh a jejich používání</w:t>
      </w:r>
    </w:p>
    <w:p w:rsidR="00093ED6" w:rsidRPr="000324E2" w:rsidRDefault="00BD7A40" w:rsidP="00093ED6">
      <w:pPr>
        <w:autoSpaceDE w:val="0"/>
        <w:autoSpaceDN w:val="0"/>
        <w:adjustRightInd w:val="0"/>
        <w:spacing w:after="0" w:line="240" w:lineRule="auto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093ED6" w:rsidRPr="000324E2">
        <w:rPr>
          <w:rFonts w:ascii="Times New Roman" w:hAnsi="Times New Roman" w:cs="Times New Roman"/>
          <w:sz w:val="20"/>
          <w:szCs w:val="20"/>
        </w:rPr>
        <w:t>324/2016</w:t>
      </w:r>
      <w:r w:rsidRPr="000324E2">
        <w:rPr>
          <w:rFonts w:ascii="Times New Roman" w:hAnsi="Times New Roman" w:cs="Times New Roman"/>
          <w:sz w:val="20"/>
          <w:szCs w:val="20"/>
        </w:rPr>
        <w:t xml:space="preserve"> Sb., </w:t>
      </w:r>
      <w:r w:rsidR="00093ED6" w:rsidRPr="000324E2">
        <w:rPr>
          <w:rFonts w:ascii="Times New Roman" w:hAnsi="Times New Roman" w:cs="Times New Roman"/>
          <w:bCs/>
          <w:sz w:val="20"/>
          <w:szCs w:val="20"/>
        </w:rPr>
        <w:t>o biocidních přípravcích a účinných látkách a o změně některých souvisejících zákonů (zákon o biocidech)</w:t>
      </w:r>
    </w:p>
    <w:p w:rsidR="00AD319D" w:rsidRPr="000324E2" w:rsidRDefault="00AD319D" w:rsidP="00AD31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 350/2011 Sb., o chemických látkách a chemických směsích, ve znění pozdějších předpisů, včetně prováděcích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 201/2012 Sb., o ochraně ovzduší</w:t>
      </w:r>
      <w:r w:rsidR="009607A9" w:rsidRPr="000324E2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0324E2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</w:rPr>
        <w:t>15.2</w:t>
      </w:r>
      <w:r w:rsidR="00CC396C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Posouzení chemické bezpečnosti</w:t>
      </w:r>
      <w:r w:rsidRPr="000324E2">
        <w:rPr>
          <w:rFonts w:ascii="Times New Roman" w:hAnsi="Times New Roman" w:cs="Times New Roman"/>
          <w:b/>
          <w:bCs/>
        </w:rPr>
        <w:t xml:space="preserve"> </w:t>
      </w:r>
    </w:p>
    <w:p w:rsidR="00BD7A40" w:rsidRPr="000324E2" w:rsidRDefault="001B0CA7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 směs n</w:t>
      </w:r>
      <w:r w:rsidR="00BD7A40" w:rsidRPr="000324E2">
        <w:rPr>
          <w:rFonts w:ascii="Times New Roman" w:hAnsi="Times New Roman" w:cs="Times New Roman"/>
          <w:sz w:val="20"/>
          <w:szCs w:val="20"/>
        </w:rPr>
        <w:t>ebylo provedeno posouzení chemické bezpečnosti.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>ODDÍL 16: Další informace</w:t>
            </w:r>
          </w:p>
        </w:tc>
      </w:tr>
    </w:tbl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Datum vydání bezpečnostního listu výrobce: </w:t>
      </w:r>
      <w:r w:rsidR="008468E8">
        <w:rPr>
          <w:rFonts w:ascii="Times New Roman" w:hAnsi="Times New Roman" w:cs="Times New Roman"/>
          <w:bCs/>
          <w:sz w:val="20"/>
          <w:szCs w:val="20"/>
        </w:rPr>
        <w:t>22</w:t>
      </w:r>
      <w:r w:rsidR="00271F62" w:rsidRPr="000324E2">
        <w:rPr>
          <w:rFonts w:ascii="Times New Roman" w:hAnsi="Times New Roman" w:cs="Times New Roman"/>
          <w:sz w:val="20"/>
          <w:szCs w:val="20"/>
        </w:rPr>
        <w:t xml:space="preserve">. </w:t>
      </w:r>
      <w:r w:rsidR="008468E8">
        <w:rPr>
          <w:rFonts w:ascii="Times New Roman" w:hAnsi="Times New Roman" w:cs="Times New Roman"/>
          <w:sz w:val="20"/>
          <w:szCs w:val="20"/>
        </w:rPr>
        <w:t>2</w:t>
      </w:r>
      <w:r w:rsidR="00271F62" w:rsidRPr="000324E2">
        <w:rPr>
          <w:rFonts w:ascii="Times New Roman" w:hAnsi="Times New Roman" w:cs="Times New Roman"/>
          <w:sz w:val="20"/>
          <w:szCs w:val="20"/>
        </w:rPr>
        <w:t>. 202</w:t>
      </w:r>
      <w:r w:rsidR="003A3286">
        <w:rPr>
          <w:rFonts w:ascii="Times New Roman" w:hAnsi="Times New Roman" w:cs="Times New Roman"/>
          <w:sz w:val="20"/>
          <w:szCs w:val="20"/>
        </w:rPr>
        <w:t>2</w:t>
      </w:r>
      <w:r w:rsidR="00271F62" w:rsidRPr="000324E2">
        <w:rPr>
          <w:rFonts w:ascii="Times New Roman" w:hAnsi="Times New Roman" w:cs="Times New Roman"/>
          <w:sz w:val="20"/>
          <w:szCs w:val="20"/>
        </w:rPr>
        <w:t xml:space="preserve"> / verze 1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6"/>
        <w:gridCol w:w="6979"/>
      </w:tblGrid>
      <w:tr w:rsidR="000324E2" w:rsidRPr="000324E2" w:rsidTr="00BD7A40">
        <w:tc>
          <w:tcPr>
            <w:tcW w:w="709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76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7087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0324E2" w:rsidRPr="000324E2" w:rsidTr="00BD7A40">
        <w:tc>
          <w:tcPr>
            <w:tcW w:w="709" w:type="dxa"/>
          </w:tcPr>
          <w:p w:rsidR="00BD7A40" w:rsidRPr="000324E2" w:rsidRDefault="00271F62" w:rsidP="00271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A40" w:rsidRPr="000324E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:rsidR="00BD7A40" w:rsidRPr="000324E2" w:rsidRDefault="003A3286" w:rsidP="003A3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71F62"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1F62" w:rsidRPr="000324E2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První vydání podle nařízení Evropského parlamentu a Rady (ES) č. 1907/2006</w:t>
            </w:r>
          </w:p>
        </w:tc>
      </w:tr>
    </w:tbl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CAS </w:t>
      </w:r>
      <w:r w:rsidRPr="000324E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(číselný identifikátor chemických látek - více na www.cas.org)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ES </w:t>
      </w:r>
      <w:r w:rsidRPr="000324E2">
        <w:rPr>
          <w:rFonts w:ascii="Times New Roman" w:hAnsi="Times New Roman" w:cs="Times New Roman"/>
          <w:sz w:val="20"/>
          <w:szCs w:val="20"/>
        </w:rPr>
        <w:tab/>
        <w:t>číselný identifikátor chemických látek pro seznamy EINECS, ELINCS a NLP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PBT </w:t>
      </w:r>
      <w:r w:rsidRPr="000324E2">
        <w:rPr>
          <w:rFonts w:ascii="Times New Roman" w:hAnsi="Times New Roman" w:cs="Times New Roman"/>
          <w:sz w:val="20"/>
          <w:szCs w:val="20"/>
        </w:rPr>
        <w:tab/>
        <w:t xml:space="preserve">látky perzistentní,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a toxické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324E2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 xml:space="preserve">látky vysoce perzistentní a vysoce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NPK-P </w:t>
      </w:r>
      <w:r w:rsidRPr="000324E2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PEL </w:t>
      </w:r>
      <w:r w:rsidRPr="000324E2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LD</w:t>
      </w:r>
      <w:r w:rsidRPr="000324E2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LC</w:t>
      </w:r>
      <w:r w:rsidRPr="000324E2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EC</w:t>
      </w:r>
      <w:r w:rsidRPr="000324E2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SVHC </w:t>
      </w:r>
      <w:r w:rsidRPr="000324E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Very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Concern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- látky vzbuzující mimořádné obavy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DNEL</w:t>
      </w:r>
      <w:r w:rsidRPr="000324E2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Derived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Level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(odvozená koncentrace látky, při které nedochází k nepříznivým účinkům)</w:t>
      </w:r>
    </w:p>
    <w:p w:rsidR="00BD7A40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PNEC</w:t>
      </w:r>
      <w:r w:rsidRPr="000324E2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Predicted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Concentration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(odhad koncentrace látky, při které nedochází k nepříznivým účinkům)</w:t>
      </w:r>
    </w:p>
    <w:p w:rsidR="00392471" w:rsidRPr="00392471" w:rsidRDefault="00392471" w:rsidP="0039247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92471">
        <w:rPr>
          <w:rFonts w:ascii="Times New Roman" w:eastAsia="Arial Unicode MS" w:hAnsi="Times New Roman" w:cs="Times New Roman"/>
          <w:sz w:val="20"/>
          <w:szCs w:val="20"/>
        </w:rPr>
        <w:t>Eye</w:t>
      </w:r>
      <w:proofErr w:type="spellEnd"/>
      <w:r w:rsidRPr="00392471">
        <w:rPr>
          <w:rFonts w:ascii="Times New Roman" w:eastAsia="Arial Unicode MS" w:hAnsi="Times New Roman" w:cs="Times New Roman"/>
          <w:sz w:val="20"/>
          <w:szCs w:val="20"/>
        </w:rPr>
        <w:t xml:space="preserve"> Dam. 1</w:t>
      </w:r>
      <w:r w:rsidRPr="00392471">
        <w:rPr>
          <w:rFonts w:ascii="Times New Roman" w:eastAsia="Arial Unicode MS" w:hAnsi="Times New Roman" w:cs="Times New Roman"/>
          <w:sz w:val="20"/>
          <w:szCs w:val="20"/>
        </w:rPr>
        <w:tab/>
        <w:t>Vážné poškození očí, kategorie 1</w:t>
      </w:r>
    </w:p>
    <w:p w:rsidR="00392471" w:rsidRDefault="00392471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392471">
        <w:rPr>
          <w:rFonts w:ascii="Times New Roman" w:hAnsi="Times New Roman" w:cs="Times New Roman"/>
          <w:sz w:val="20"/>
          <w:szCs w:val="20"/>
        </w:rPr>
        <w:t>Corr</w:t>
      </w:r>
      <w:proofErr w:type="spellEnd"/>
      <w:r w:rsidRPr="00392471">
        <w:rPr>
          <w:rFonts w:ascii="Times New Roman" w:hAnsi="Times New Roman" w:cs="Times New Roman"/>
          <w:sz w:val="20"/>
          <w:szCs w:val="20"/>
        </w:rPr>
        <w:t xml:space="preserve">. </w:t>
      </w:r>
      <w:r w:rsidR="008468E8">
        <w:rPr>
          <w:rFonts w:ascii="Times New Roman" w:hAnsi="Times New Roman" w:cs="Times New Roman"/>
          <w:sz w:val="20"/>
          <w:szCs w:val="20"/>
        </w:rPr>
        <w:t>C</w:t>
      </w:r>
      <w:r w:rsidRPr="00392471">
        <w:rPr>
          <w:rFonts w:ascii="Times New Roman" w:hAnsi="Times New Roman" w:cs="Times New Roman"/>
          <w:sz w:val="20"/>
          <w:szCs w:val="20"/>
        </w:rPr>
        <w:t xml:space="preserve"> </w:t>
      </w:r>
      <w:r w:rsidRPr="00392471">
        <w:rPr>
          <w:rFonts w:ascii="Times New Roman" w:hAnsi="Times New Roman" w:cs="Times New Roman"/>
          <w:sz w:val="20"/>
          <w:szCs w:val="20"/>
        </w:rPr>
        <w:tab/>
        <w:t xml:space="preserve">Žíravost pro kůži, kategorie </w:t>
      </w:r>
      <w:r w:rsidR="008468E8">
        <w:rPr>
          <w:rFonts w:ascii="Times New Roman" w:hAnsi="Times New Roman" w:cs="Times New Roman"/>
          <w:sz w:val="20"/>
          <w:szCs w:val="20"/>
        </w:rPr>
        <w:t>C</w:t>
      </w:r>
      <w:r w:rsidRPr="003924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68E8" w:rsidRPr="00444903" w:rsidRDefault="008468E8" w:rsidP="008468E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444903">
        <w:rPr>
          <w:rFonts w:ascii="Times New Roman" w:hAnsi="Times New Roman" w:cs="Times New Roman"/>
          <w:sz w:val="20"/>
          <w:szCs w:val="20"/>
        </w:rPr>
        <w:t>Irrit</w:t>
      </w:r>
      <w:proofErr w:type="spellEnd"/>
      <w:r w:rsidRPr="00444903">
        <w:rPr>
          <w:rFonts w:ascii="Times New Roman" w:hAnsi="Times New Roman" w:cs="Times New Roman"/>
          <w:sz w:val="20"/>
          <w:szCs w:val="20"/>
        </w:rPr>
        <w:t xml:space="preserve">. 2 </w:t>
      </w:r>
      <w:r w:rsidRPr="00444903">
        <w:rPr>
          <w:rFonts w:ascii="Times New Roman" w:hAnsi="Times New Roman" w:cs="Times New Roman"/>
          <w:sz w:val="20"/>
          <w:szCs w:val="20"/>
        </w:rPr>
        <w:tab/>
        <w:t>Dráždivost pro kůži, kategorie 2</w:t>
      </w:r>
    </w:p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 xml:space="preserve">Důležité odkazy na literaturu a zdroje dat </w:t>
      </w:r>
    </w:p>
    <w:p w:rsidR="00F7323B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0324E2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7662" w:rsidRPr="000324E2">
        <w:rPr>
          <w:rFonts w:ascii="Times New Roman" w:hAnsi="Times New Roman" w:cs="Times New Roman"/>
          <w:sz w:val="20"/>
          <w:szCs w:val="20"/>
        </w:rPr>
        <w:t xml:space="preserve">podle </w:t>
      </w:r>
      <w:r w:rsidRPr="000324E2">
        <w:rPr>
          <w:rFonts w:ascii="Times New Roman" w:hAnsi="Times New Roman" w:cs="Times New Roman"/>
          <w:sz w:val="20"/>
          <w:szCs w:val="20"/>
        </w:rPr>
        <w:t>originálu bezpečnostn</w:t>
      </w:r>
      <w:r w:rsidR="00E93B73" w:rsidRPr="000324E2">
        <w:rPr>
          <w:rFonts w:ascii="Times New Roman" w:hAnsi="Times New Roman" w:cs="Times New Roman"/>
          <w:sz w:val="20"/>
          <w:szCs w:val="20"/>
        </w:rPr>
        <w:t>ího listu poskytnutého výrobcem</w:t>
      </w:r>
      <w:r w:rsidR="00271F62" w:rsidRPr="000324E2">
        <w:rPr>
          <w:rFonts w:ascii="Times New Roman" w:hAnsi="Times New Roman" w:cs="Times New Roman"/>
          <w:sz w:val="20"/>
          <w:szCs w:val="20"/>
        </w:rPr>
        <w:t>.</w:t>
      </w:r>
    </w:p>
    <w:p w:rsidR="00BD7A40" w:rsidRPr="00392471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0324E2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0324E2">
        <w:rPr>
          <w:rFonts w:ascii="Times New Roman" w:hAnsi="Times New Roman" w:cs="Times New Roman"/>
          <w:sz w:val="20"/>
          <w:szCs w:val="20"/>
          <w:u w:val="single"/>
        </w:rPr>
        <w:t xml:space="preserve">použité </w:t>
      </w:r>
      <w:r w:rsidRPr="00392471">
        <w:rPr>
          <w:rFonts w:ascii="Times New Roman" w:hAnsi="Times New Roman" w:cs="Times New Roman"/>
          <w:sz w:val="20"/>
          <w:szCs w:val="20"/>
          <w:u w:val="single"/>
        </w:rPr>
        <w:t>při klasifikaci směsi</w:t>
      </w:r>
    </w:p>
    <w:p w:rsidR="00392471" w:rsidRPr="00392471" w:rsidRDefault="00392471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• </w:t>
      </w:r>
      <w:r w:rsidR="005F3B4B">
        <w:rPr>
          <w:rFonts w:ascii="Times New Roman" w:hAnsi="Times New Roman" w:cs="Times New Roman"/>
          <w:sz w:val="20"/>
          <w:szCs w:val="20"/>
        </w:rPr>
        <w:t xml:space="preserve">Na základě údajů ze </w:t>
      </w:r>
      <w:r w:rsidR="005F3B4B" w:rsidRPr="005F3B4B">
        <w:rPr>
          <w:rFonts w:ascii="Times New Roman" w:hAnsi="Times New Roman" w:cs="Times New Roman"/>
          <w:sz w:val="20"/>
          <w:szCs w:val="20"/>
        </w:rPr>
        <w:t xml:space="preserve">zkoušek </w:t>
      </w:r>
      <w:r w:rsidR="005F3B4B">
        <w:rPr>
          <w:rFonts w:ascii="Times New Roman" w:hAnsi="Times New Roman" w:cs="Times New Roman"/>
          <w:sz w:val="20"/>
          <w:szCs w:val="20"/>
        </w:rPr>
        <w:t>–</w:t>
      </w:r>
      <w:r w:rsidR="005F3B4B" w:rsidRPr="005F3B4B">
        <w:rPr>
          <w:rFonts w:ascii="Times New Roman" w:hAnsi="Times New Roman" w:cs="Times New Roman"/>
          <w:sz w:val="20"/>
          <w:szCs w:val="20"/>
        </w:rPr>
        <w:t xml:space="preserve"> k</w:t>
      </w:r>
      <w:r w:rsidR="005F3B4B" w:rsidRPr="005F3B4B">
        <w:rPr>
          <w:rStyle w:val="q4iawc"/>
          <w:rFonts w:ascii="Times New Roman" w:hAnsi="Times New Roman" w:cs="Times New Roman"/>
          <w:sz w:val="20"/>
          <w:szCs w:val="20"/>
        </w:rPr>
        <w:t>lasifikace směsi s extrémní hodnotou pH je založena na výsledcích příslušného testu in vitro</w:t>
      </w:r>
    </w:p>
    <w:p w:rsidR="003A3286" w:rsidRPr="001C34F3" w:rsidRDefault="003A3286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Klasifikace směsi byla posouzena výrobcem a použita dodavatelem na základě článku 4, odstavce 5 nařízení (ES) č. 1907/2006 (použití klasifikace </w:t>
      </w:r>
      <w:r w:rsidRPr="001C34F3">
        <w:rPr>
          <w:rFonts w:ascii="Times New Roman" w:hAnsi="Times New Roman" w:cs="Times New Roman"/>
          <w:sz w:val="20"/>
          <w:szCs w:val="20"/>
        </w:rPr>
        <w:t>odvozené účastníkem dodavatelského řetězce).</w:t>
      </w:r>
    </w:p>
    <w:p w:rsidR="00BD7A40" w:rsidRPr="000324E2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Seznam standardních vět o nebezpečnosti a pokynů pro bezpečné zacházení použitých v bezpečnostním listu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H314 </w:t>
      </w:r>
      <w:r w:rsidR="00392471" w:rsidRPr="00392471">
        <w:rPr>
          <w:rFonts w:ascii="Times New Roman" w:hAnsi="Times New Roman" w:cs="Times New Roman"/>
          <w:sz w:val="20"/>
          <w:szCs w:val="20"/>
        </w:rPr>
        <w:t>Způsobuje těžké poleptání kůže a poškození očí.</w:t>
      </w:r>
    </w:p>
    <w:p w:rsidR="008468E8" w:rsidRPr="00444903" w:rsidRDefault="008468E8" w:rsidP="008468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H315 Dráždí kůži.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>H318</w:t>
      </w:r>
      <w:r w:rsidR="00392471" w:rsidRPr="00392471">
        <w:rPr>
          <w:rFonts w:ascii="Times New Roman" w:hAnsi="Times New Roman" w:cs="Times New Roman"/>
          <w:sz w:val="20"/>
          <w:szCs w:val="20"/>
        </w:rPr>
        <w:t xml:space="preserve"> Způsobuje vážné poškození očí.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lastRenderedPageBreak/>
        <w:t>EUH071</w:t>
      </w:r>
      <w:r w:rsidR="00392471" w:rsidRPr="00392471">
        <w:rPr>
          <w:rFonts w:ascii="Times New Roman" w:hAnsi="Times New Roman" w:cs="Times New Roman"/>
          <w:sz w:val="20"/>
          <w:szCs w:val="20"/>
        </w:rPr>
        <w:t xml:space="preserve"> Způsobuje poleptání dýchacích cest.</w:t>
      </w:r>
    </w:p>
    <w:p w:rsidR="008468E8" w:rsidRPr="008D43BC" w:rsidRDefault="008468E8" w:rsidP="008468E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43BC">
        <w:rPr>
          <w:rFonts w:ascii="Times New Roman" w:hAnsi="Times New Roman" w:cs="Times New Roman"/>
          <w:bCs/>
          <w:sz w:val="20"/>
          <w:szCs w:val="20"/>
        </w:rPr>
        <w:t>P235</w:t>
      </w:r>
      <w:r w:rsidRPr="008D43BC">
        <w:rPr>
          <w:rFonts w:ascii="Times New Roman" w:hAnsi="Times New Roman" w:cs="Times New Roman"/>
          <w:sz w:val="20"/>
          <w:szCs w:val="20"/>
        </w:rPr>
        <w:t xml:space="preserve"> Uchovávejte v chladu.</w:t>
      </w:r>
    </w:p>
    <w:p w:rsidR="008468E8" w:rsidRPr="00CE631E" w:rsidRDefault="008468E8" w:rsidP="008468E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E631E">
        <w:rPr>
          <w:rFonts w:ascii="Times New Roman" w:hAnsi="Times New Roman" w:cs="Times New Roman"/>
          <w:bCs/>
          <w:sz w:val="20"/>
          <w:szCs w:val="20"/>
        </w:rPr>
        <w:t>P280</w:t>
      </w:r>
      <w:r w:rsidRPr="00CE631E">
        <w:rPr>
          <w:rFonts w:ascii="Times New Roman" w:hAnsi="Times New Roman" w:cs="Times New Roman"/>
          <w:sz w:val="20"/>
          <w:szCs w:val="20"/>
        </w:rPr>
        <w:t xml:space="preserve"> Používejte ochranné brýle/obličejový štít.</w:t>
      </w:r>
    </w:p>
    <w:p w:rsidR="008468E8" w:rsidRPr="00CE631E" w:rsidRDefault="008468E8" w:rsidP="008468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631E">
        <w:rPr>
          <w:rFonts w:ascii="Times New Roman" w:hAnsi="Times New Roman" w:cs="Times New Roman"/>
          <w:sz w:val="20"/>
          <w:szCs w:val="20"/>
        </w:rPr>
        <w:t>P305 + P351 + P338 PŘI ZASAŽENÍ OČÍ: Několik minut opatrně vyplachujte vodou. Vyjměte kontaktní čočky, jsou-li nasazeny a pokud je lze vyjmout snadno. Pokračujte ve vyplachování.</w:t>
      </w:r>
    </w:p>
    <w:p w:rsidR="008468E8" w:rsidRDefault="008468E8" w:rsidP="008468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P314</w:t>
      </w:r>
      <w:r>
        <w:t xml:space="preserve"> </w:t>
      </w:r>
      <w:r w:rsidRPr="005F3B4B">
        <w:rPr>
          <w:rFonts w:ascii="Times New Roman" w:hAnsi="Times New Roman" w:cs="Times New Roman"/>
          <w:sz w:val="20"/>
          <w:szCs w:val="20"/>
        </w:rPr>
        <w:t>Necítíte-li se dobře, vyhledejte lékařskou pomoc/ošetření.</w:t>
      </w:r>
    </w:p>
    <w:p w:rsidR="008468E8" w:rsidRDefault="008468E8" w:rsidP="0039247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43BC">
        <w:rPr>
          <w:rFonts w:ascii="Times New Roman" w:hAnsi="Times New Roman" w:cs="Times New Roman"/>
          <w:bCs/>
          <w:sz w:val="20"/>
          <w:szCs w:val="20"/>
        </w:rPr>
        <w:t>P410</w:t>
      </w:r>
      <w:r w:rsidRPr="008D43BC">
        <w:rPr>
          <w:rFonts w:ascii="Times New Roman" w:hAnsi="Times New Roman" w:cs="Times New Roman"/>
          <w:sz w:val="20"/>
          <w:szCs w:val="20"/>
        </w:rPr>
        <w:t xml:space="preserve"> Chraňte před slunečním zářením.</w:t>
      </w:r>
    </w:p>
    <w:p w:rsidR="00BD7A40" w:rsidRPr="000324E2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:rsidR="003E18BD" w:rsidRPr="000324E2" w:rsidRDefault="003E18BD" w:rsidP="003E18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havárií</w:t>
      </w:r>
      <w:r w:rsidR="00E93B73" w:rsidRPr="000324E2">
        <w:rPr>
          <w:rFonts w:ascii="Times New Roman" w:hAnsi="Times New Roman" w:cs="Times New Roman"/>
          <w:sz w:val="20"/>
          <w:szCs w:val="20"/>
        </w:rPr>
        <w:t>, s přepravou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8C0C5E" w:rsidRPr="000324E2" w:rsidRDefault="00B43A44" w:rsidP="002B6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Každý zaměstnavatel musí po</w:t>
      </w:r>
      <w:r w:rsidR="004A0D60" w:rsidRPr="000324E2">
        <w:rPr>
          <w:rFonts w:ascii="Times New Roman" w:hAnsi="Times New Roman" w:cs="Times New Roman"/>
          <w:sz w:val="20"/>
          <w:szCs w:val="20"/>
        </w:rPr>
        <w:t>dle článku</w:t>
      </w:r>
      <w:r w:rsidRPr="000324E2">
        <w:rPr>
          <w:rFonts w:ascii="Times New Roman" w:hAnsi="Times New Roman" w:cs="Times New Roman"/>
          <w:sz w:val="20"/>
          <w:szCs w:val="20"/>
        </w:rPr>
        <w:t xml:space="preserve"> 35 nařízení </w:t>
      </w:r>
      <w:r w:rsidR="004A0D60" w:rsidRPr="000324E2">
        <w:rPr>
          <w:rFonts w:ascii="Times New Roman" w:hAnsi="Times New Roman" w:cs="Times New Roman"/>
          <w:sz w:val="20"/>
          <w:szCs w:val="20"/>
        </w:rPr>
        <w:t xml:space="preserve">Evropského parlamentu a Rady </w:t>
      </w:r>
      <w:r w:rsidRPr="000324E2">
        <w:rPr>
          <w:rFonts w:ascii="Times New Roman" w:hAnsi="Times New Roman" w:cs="Times New Roman"/>
          <w:sz w:val="20"/>
          <w:szCs w:val="20"/>
        </w:rPr>
        <w:t xml:space="preserve">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:rsidR="00BD7A40" w:rsidRPr="000324E2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:rsidR="008545CC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Další informace poskytne: viz oddíl 1.3.</w:t>
      </w:r>
    </w:p>
    <w:p w:rsidR="009316F2" w:rsidRPr="000324E2" w:rsidRDefault="009316F2" w:rsidP="003A328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</w:p>
    <w:sectPr w:rsidR="009316F2" w:rsidRPr="000324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6A7F" w:rsidRDefault="00D76A7F" w:rsidP="00D0201A">
      <w:pPr>
        <w:spacing w:after="0" w:line="240" w:lineRule="auto"/>
      </w:pPr>
      <w:r>
        <w:separator/>
      </w:r>
    </w:p>
  </w:endnote>
  <w:endnote w:type="continuationSeparator" w:id="0">
    <w:p w:rsidR="00D76A7F" w:rsidRDefault="00D76A7F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20B0604020202020204"/>
    <w:charset w:val="EE"/>
    <w:family w:val="auto"/>
    <w:notTrueType/>
    <w:pitch w:val="default"/>
    <w:sig w:usb0="00000001" w:usb1="00000000" w:usb2="00000000" w:usb3="00000000" w:csb0="00000003" w:csb1="00000000"/>
  </w:font>
  <w:font w:name="StempelGaramondLTPro-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3B4B" w:rsidRDefault="005F3B4B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0E58EF">
      <w:rPr>
        <w:rStyle w:val="slostrnky"/>
        <w:rFonts w:ascii="Times New Roman" w:hAnsi="Times New Roman" w:cs="Times New Roman"/>
        <w:noProof/>
        <w:sz w:val="20"/>
        <w:szCs w:val="20"/>
      </w:rPr>
      <w:t>1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0E58EF">
      <w:rPr>
        <w:rStyle w:val="slostrnky"/>
        <w:rFonts w:ascii="Times New Roman" w:hAnsi="Times New Roman" w:cs="Times New Roman"/>
        <w:noProof/>
        <w:sz w:val="20"/>
        <w:szCs w:val="20"/>
      </w:rPr>
      <w:t>9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6A7F" w:rsidRDefault="00D76A7F" w:rsidP="00D0201A">
      <w:pPr>
        <w:spacing w:after="0" w:line="240" w:lineRule="auto"/>
      </w:pPr>
      <w:r>
        <w:separator/>
      </w:r>
    </w:p>
  </w:footnote>
  <w:footnote w:type="continuationSeparator" w:id="0">
    <w:p w:rsidR="00D76A7F" w:rsidRDefault="00D76A7F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5F3B4B" w:rsidTr="00607662">
      <w:tc>
        <w:tcPr>
          <w:tcW w:w="9104" w:type="dxa"/>
        </w:tcPr>
        <w:p w:rsidR="005F3B4B" w:rsidRPr="00D0201A" w:rsidRDefault="005F3B4B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:rsidR="005F3B4B" w:rsidRPr="00D0201A" w:rsidRDefault="005F3B4B" w:rsidP="00882A24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(podle nařízení Evropského parlamentu a Rady (ES) č. 1907/2006, ve znění nařízení Komise (EU) </w:t>
          </w:r>
          <w:r>
            <w:rPr>
              <w:rFonts w:ascii="Times New Roman" w:hAnsi="Times New Roman" w:cs="Times New Roman"/>
              <w:sz w:val="20"/>
              <w:szCs w:val="20"/>
            </w:rPr>
            <w:t>2020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878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5F3B4B" w:rsidTr="00607662">
      <w:tc>
        <w:tcPr>
          <w:tcW w:w="9104" w:type="dxa"/>
        </w:tcPr>
        <w:p w:rsidR="005F3B4B" w:rsidRPr="00D0201A" w:rsidRDefault="005F3B4B" w:rsidP="00D0201A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Datum vydání/verze č.: </w:t>
          </w:r>
          <w:r>
            <w:rPr>
              <w:rFonts w:ascii="Times New Roman" w:hAnsi="Times New Roman" w:cs="Times New Roman"/>
              <w:sz w:val="20"/>
              <w:szCs w:val="20"/>
            </w:rPr>
            <w:t>24. 6. 2022 / 1.0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</w:t>
          </w:r>
        </w:p>
        <w:p w:rsidR="005F3B4B" w:rsidRPr="00D0201A" w:rsidRDefault="005F3B4B" w:rsidP="005004C2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Název výrobku:</w:t>
          </w:r>
          <w:r w:rsidRPr="00586E7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                                    </w:t>
          </w:r>
          <w:r w:rsidRPr="005004C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BIOXY FOAM </w:t>
          </w:r>
          <w:r w:rsidRPr="005F3B4B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BASE</w:t>
          </w:r>
        </w:p>
      </w:tc>
    </w:tr>
  </w:tbl>
  <w:p w:rsidR="005F3B4B" w:rsidRPr="00D0201A" w:rsidRDefault="005F3B4B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74618"/>
    <w:multiLevelType w:val="multilevel"/>
    <w:tmpl w:val="34005044"/>
    <w:lvl w:ilvl="0">
      <w:start w:val="1"/>
      <w:numFmt w:val="decimal"/>
      <w:pStyle w:val="Nadpis1"/>
      <w:lvlText w:val="ODDÍL %1: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15430"/>
    <w:rsid w:val="00017829"/>
    <w:rsid w:val="00017BCB"/>
    <w:rsid w:val="000248FA"/>
    <w:rsid w:val="000324E2"/>
    <w:rsid w:val="0003754A"/>
    <w:rsid w:val="000416AF"/>
    <w:rsid w:val="000724EB"/>
    <w:rsid w:val="00074446"/>
    <w:rsid w:val="000749C2"/>
    <w:rsid w:val="000866D0"/>
    <w:rsid w:val="00093B94"/>
    <w:rsid w:val="00093ED6"/>
    <w:rsid w:val="000C13E0"/>
    <w:rsid w:val="000D4D38"/>
    <w:rsid w:val="000E58EF"/>
    <w:rsid w:val="000F0FD8"/>
    <w:rsid w:val="000F6920"/>
    <w:rsid w:val="00176F47"/>
    <w:rsid w:val="001A1355"/>
    <w:rsid w:val="001A6A94"/>
    <w:rsid w:val="001B0CA7"/>
    <w:rsid w:val="001C0C12"/>
    <w:rsid w:val="001D53AD"/>
    <w:rsid w:val="001F0B33"/>
    <w:rsid w:val="00202EDB"/>
    <w:rsid w:val="00205C08"/>
    <w:rsid w:val="00213AB6"/>
    <w:rsid w:val="00226BA8"/>
    <w:rsid w:val="00241667"/>
    <w:rsid w:val="00245E3E"/>
    <w:rsid w:val="002500DB"/>
    <w:rsid w:val="00251E30"/>
    <w:rsid w:val="00260816"/>
    <w:rsid w:val="00266494"/>
    <w:rsid w:val="002701DE"/>
    <w:rsid w:val="0027111B"/>
    <w:rsid w:val="00271F62"/>
    <w:rsid w:val="00274810"/>
    <w:rsid w:val="00287E49"/>
    <w:rsid w:val="002A23B3"/>
    <w:rsid w:val="002A4AAB"/>
    <w:rsid w:val="002A6190"/>
    <w:rsid w:val="002B0F38"/>
    <w:rsid w:val="002B6F72"/>
    <w:rsid w:val="002C249A"/>
    <w:rsid w:val="002C2F18"/>
    <w:rsid w:val="002C3AD4"/>
    <w:rsid w:val="002C7F72"/>
    <w:rsid w:val="002E0037"/>
    <w:rsid w:val="002F7129"/>
    <w:rsid w:val="00303D67"/>
    <w:rsid w:val="0031244E"/>
    <w:rsid w:val="00317948"/>
    <w:rsid w:val="00332193"/>
    <w:rsid w:val="0034050A"/>
    <w:rsid w:val="003701CC"/>
    <w:rsid w:val="003715AE"/>
    <w:rsid w:val="00372724"/>
    <w:rsid w:val="00385AAA"/>
    <w:rsid w:val="00390F87"/>
    <w:rsid w:val="00392471"/>
    <w:rsid w:val="0039388A"/>
    <w:rsid w:val="003A3286"/>
    <w:rsid w:val="003B7748"/>
    <w:rsid w:val="003D2972"/>
    <w:rsid w:val="003E0621"/>
    <w:rsid w:val="003E18BD"/>
    <w:rsid w:val="003E30B8"/>
    <w:rsid w:val="003E77D6"/>
    <w:rsid w:val="003F48AD"/>
    <w:rsid w:val="003F4D88"/>
    <w:rsid w:val="003F7D45"/>
    <w:rsid w:val="0040090F"/>
    <w:rsid w:val="00405661"/>
    <w:rsid w:val="004569E4"/>
    <w:rsid w:val="00465A35"/>
    <w:rsid w:val="004700CC"/>
    <w:rsid w:val="00473757"/>
    <w:rsid w:val="004A0D60"/>
    <w:rsid w:val="004A5008"/>
    <w:rsid w:val="004A6BB9"/>
    <w:rsid w:val="004C5921"/>
    <w:rsid w:val="004C6338"/>
    <w:rsid w:val="004D1A36"/>
    <w:rsid w:val="004D6BAB"/>
    <w:rsid w:val="004F248D"/>
    <w:rsid w:val="004F466F"/>
    <w:rsid w:val="005004C2"/>
    <w:rsid w:val="005074DD"/>
    <w:rsid w:val="00520ABA"/>
    <w:rsid w:val="005233EB"/>
    <w:rsid w:val="00536ABE"/>
    <w:rsid w:val="00553F0C"/>
    <w:rsid w:val="00576DE5"/>
    <w:rsid w:val="00585D3E"/>
    <w:rsid w:val="00586E7E"/>
    <w:rsid w:val="005A212A"/>
    <w:rsid w:val="005A3B70"/>
    <w:rsid w:val="005D2C29"/>
    <w:rsid w:val="005D73F3"/>
    <w:rsid w:val="005E6406"/>
    <w:rsid w:val="005F139B"/>
    <w:rsid w:val="005F3B4B"/>
    <w:rsid w:val="00600099"/>
    <w:rsid w:val="00606933"/>
    <w:rsid w:val="00607662"/>
    <w:rsid w:val="00610493"/>
    <w:rsid w:val="006135AE"/>
    <w:rsid w:val="00627231"/>
    <w:rsid w:val="006401EE"/>
    <w:rsid w:val="00651938"/>
    <w:rsid w:val="00662543"/>
    <w:rsid w:val="006857FF"/>
    <w:rsid w:val="006956B6"/>
    <w:rsid w:val="006A1752"/>
    <w:rsid w:val="006B504F"/>
    <w:rsid w:val="006B64A6"/>
    <w:rsid w:val="006B6C26"/>
    <w:rsid w:val="006C269E"/>
    <w:rsid w:val="006C2745"/>
    <w:rsid w:val="006D1DF0"/>
    <w:rsid w:val="006E7F64"/>
    <w:rsid w:val="006F2E1F"/>
    <w:rsid w:val="006F7BAD"/>
    <w:rsid w:val="00702A6B"/>
    <w:rsid w:val="00705725"/>
    <w:rsid w:val="00705B72"/>
    <w:rsid w:val="00713FD7"/>
    <w:rsid w:val="0072070F"/>
    <w:rsid w:val="00731D13"/>
    <w:rsid w:val="0075640F"/>
    <w:rsid w:val="007616FD"/>
    <w:rsid w:val="0076175B"/>
    <w:rsid w:val="00786441"/>
    <w:rsid w:val="007E64FD"/>
    <w:rsid w:val="007F2146"/>
    <w:rsid w:val="00814DC7"/>
    <w:rsid w:val="00820644"/>
    <w:rsid w:val="0082194C"/>
    <w:rsid w:val="0082220B"/>
    <w:rsid w:val="00832A8A"/>
    <w:rsid w:val="00842994"/>
    <w:rsid w:val="008468E8"/>
    <w:rsid w:val="00852615"/>
    <w:rsid w:val="008545CC"/>
    <w:rsid w:val="00876255"/>
    <w:rsid w:val="00882A24"/>
    <w:rsid w:val="00894DE7"/>
    <w:rsid w:val="008A2E8B"/>
    <w:rsid w:val="008B62E5"/>
    <w:rsid w:val="008C0C5E"/>
    <w:rsid w:val="008D43BC"/>
    <w:rsid w:val="008E32B3"/>
    <w:rsid w:val="009316F2"/>
    <w:rsid w:val="00945E9D"/>
    <w:rsid w:val="009607A9"/>
    <w:rsid w:val="00963B6A"/>
    <w:rsid w:val="00973E78"/>
    <w:rsid w:val="00982C99"/>
    <w:rsid w:val="009A708D"/>
    <w:rsid w:val="009B61C8"/>
    <w:rsid w:val="009D1354"/>
    <w:rsid w:val="009E642F"/>
    <w:rsid w:val="00A0478E"/>
    <w:rsid w:val="00A04F93"/>
    <w:rsid w:val="00A26AC6"/>
    <w:rsid w:val="00A46856"/>
    <w:rsid w:val="00A52E96"/>
    <w:rsid w:val="00A560F1"/>
    <w:rsid w:val="00A753AD"/>
    <w:rsid w:val="00A82C68"/>
    <w:rsid w:val="00A87C84"/>
    <w:rsid w:val="00A95667"/>
    <w:rsid w:val="00AA766C"/>
    <w:rsid w:val="00AB6363"/>
    <w:rsid w:val="00AC402F"/>
    <w:rsid w:val="00AC5CBD"/>
    <w:rsid w:val="00AD319D"/>
    <w:rsid w:val="00AE029F"/>
    <w:rsid w:val="00AE08FF"/>
    <w:rsid w:val="00B31FBB"/>
    <w:rsid w:val="00B35D32"/>
    <w:rsid w:val="00B43A44"/>
    <w:rsid w:val="00BA0EFE"/>
    <w:rsid w:val="00BA490F"/>
    <w:rsid w:val="00BA5F50"/>
    <w:rsid w:val="00BB603C"/>
    <w:rsid w:val="00BD7A40"/>
    <w:rsid w:val="00C0368F"/>
    <w:rsid w:val="00C10E2D"/>
    <w:rsid w:val="00C204E2"/>
    <w:rsid w:val="00C344DD"/>
    <w:rsid w:val="00C4192D"/>
    <w:rsid w:val="00C47775"/>
    <w:rsid w:val="00C61B98"/>
    <w:rsid w:val="00C72F09"/>
    <w:rsid w:val="00C736CC"/>
    <w:rsid w:val="00C85038"/>
    <w:rsid w:val="00C97DB2"/>
    <w:rsid w:val="00CA12FF"/>
    <w:rsid w:val="00CA48CC"/>
    <w:rsid w:val="00CB145A"/>
    <w:rsid w:val="00CB1859"/>
    <w:rsid w:val="00CB3631"/>
    <w:rsid w:val="00CC396C"/>
    <w:rsid w:val="00CC679B"/>
    <w:rsid w:val="00CE1157"/>
    <w:rsid w:val="00CE26CD"/>
    <w:rsid w:val="00CE631E"/>
    <w:rsid w:val="00CE7AAF"/>
    <w:rsid w:val="00CF10EA"/>
    <w:rsid w:val="00CF6403"/>
    <w:rsid w:val="00D0201A"/>
    <w:rsid w:val="00D12F0C"/>
    <w:rsid w:val="00D130DB"/>
    <w:rsid w:val="00D17C86"/>
    <w:rsid w:val="00D35A9A"/>
    <w:rsid w:val="00D43DCF"/>
    <w:rsid w:val="00D44041"/>
    <w:rsid w:val="00D47BB4"/>
    <w:rsid w:val="00D76A7F"/>
    <w:rsid w:val="00D81A2D"/>
    <w:rsid w:val="00D94A82"/>
    <w:rsid w:val="00DA2744"/>
    <w:rsid w:val="00DB3C17"/>
    <w:rsid w:val="00DD065B"/>
    <w:rsid w:val="00DD0BFC"/>
    <w:rsid w:val="00DE11EC"/>
    <w:rsid w:val="00DE29AB"/>
    <w:rsid w:val="00E21ADE"/>
    <w:rsid w:val="00E2720A"/>
    <w:rsid w:val="00E5470C"/>
    <w:rsid w:val="00E600DB"/>
    <w:rsid w:val="00E60956"/>
    <w:rsid w:val="00E60A58"/>
    <w:rsid w:val="00E93B73"/>
    <w:rsid w:val="00EC182A"/>
    <w:rsid w:val="00EC5B17"/>
    <w:rsid w:val="00ED0A52"/>
    <w:rsid w:val="00ED16E8"/>
    <w:rsid w:val="00EE1E67"/>
    <w:rsid w:val="00F00C73"/>
    <w:rsid w:val="00F1349F"/>
    <w:rsid w:val="00F14128"/>
    <w:rsid w:val="00F14683"/>
    <w:rsid w:val="00F20434"/>
    <w:rsid w:val="00F37283"/>
    <w:rsid w:val="00F54FBF"/>
    <w:rsid w:val="00F66F8D"/>
    <w:rsid w:val="00F67315"/>
    <w:rsid w:val="00F67994"/>
    <w:rsid w:val="00F7323B"/>
    <w:rsid w:val="00F808C5"/>
    <w:rsid w:val="00FB23FA"/>
    <w:rsid w:val="00FD3F3A"/>
    <w:rsid w:val="00FE196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C86D20-0D01-D541-9E50-89B4BE98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Bod 1"/>
    <w:basedOn w:val="Normln"/>
    <w:next w:val="Nadpis2"/>
    <w:link w:val="Nadpis1Char"/>
    <w:qFormat/>
    <w:rsid w:val="005D73F3"/>
    <w:pPr>
      <w:numPr>
        <w:numId w:val="1"/>
      </w:numPr>
      <w:spacing w:before="60" w:after="60" w:line="240" w:lineRule="auto"/>
      <w:outlineLvl w:val="0"/>
    </w:pPr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paragraph" w:styleId="Nadpis2">
    <w:name w:val="heading 2"/>
    <w:basedOn w:val="Normln"/>
    <w:link w:val="Nadpis2Char"/>
    <w:qFormat/>
    <w:rsid w:val="005D73F3"/>
    <w:pPr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paragraph" w:styleId="Nadpis3">
    <w:name w:val="heading 3"/>
    <w:basedOn w:val="Normln"/>
    <w:link w:val="Nadpis3Char"/>
    <w:qFormat/>
    <w:rsid w:val="005D73F3"/>
    <w:pPr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D73F3"/>
    <w:pPr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73F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D73F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D73F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D73F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D73F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napToGrid w:val="0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Standardnpsmoodstavce"/>
    <w:rsid w:val="00F66F8D"/>
  </w:style>
  <w:style w:type="paragraph" w:customStyle="1" w:styleId="NormalTab">
    <w:name w:val="NormalTab"/>
    <w:basedOn w:val="Normln"/>
    <w:rsid w:val="00F134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j-italic">
    <w:name w:val="oj-italic"/>
    <w:basedOn w:val="Standardnpsmoodstavce"/>
    <w:rsid w:val="00A52E96"/>
  </w:style>
  <w:style w:type="paragraph" w:customStyle="1" w:styleId="TableParagraph">
    <w:name w:val="Table Paragraph"/>
    <w:basedOn w:val="Normln"/>
    <w:uiPriority w:val="1"/>
    <w:qFormat/>
    <w:rsid w:val="00A82C68"/>
    <w:pPr>
      <w:widowControl w:val="0"/>
      <w:autoSpaceDE w:val="0"/>
      <w:autoSpaceDN w:val="0"/>
      <w:spacing w:after="0" w:line="240" w:lineRule="auto"/>
      <w:ind w:left="69"/>
    </w:pPr>
    <w:rPr>
      <w:rFonts w:ascii="Arial Narrow" w:eastAsia="Arial Narrow" w:hAnsi="Arial Narrow" w:cs="Arial Narrow"/>
    </w:rPr>
  </w:style>
  <w:style w:type="paragraph" w:customStyle="1" w:styleId="CM4">
    <w:name w:val="CM4"/>
    <w:basedOn w:val="Normln"/>
    <w:next w:val="Normln"/>
    <w:rsid w:val="00287E49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EUAlbertina"/>
      <w:sz w:val="20"/>
      <w:szCs w:val="20"/>
      <w:lang w:eastAsia="cs-CZ"/>
    </w:rPr>
  </w:style>
  <w:style w:type="character" w:customStyle="1" w:styleId="tlid-translation">
    <w:name w:val="tlid-translation"/>
    <w:basedOn w:val="Standardnpsmoodstavce"/>
    <w:rsid w:val="004A6BB9"/>
  </w:style>
  <w:style w:type="character" w:customStyle="1" w:styleId="viiyi">
    <w:name w:val="viiyi"/>
    <w:basedOn w:val="Standardnpsmoodstavce"/>
    <w:rsid w:val="004A6BB9"/>
  </w:style>
  <w:style w:type="character" w:customStyle="1" w:styleId="jlqj4b">
    <w:name w:val="jlqj4b"/>
    <w:basedOn w:val="Standardnpsmoodstavce"/>
    <w:rsid w:val="004A6BB9"/>
  </w:style>
  <w:style w:type="character" w:customStyle="1" w:styleId="q4iawc">
    <w:name w:val="q4iawc"/>
    <w:basedOn w:val="Standardnpsmoodstavce"/>
    <w:rsid w:val="008D43BC"/>
  </w:style>
  <w:style w:type="character" w:customStyle="1" w:styleId="Nadpis1Char">
    <w:name w:val="Nadpis 1 Char"/>
    <w:aliases w:val="Bod 1 Char"/>
    <w:basedOn w:val="Standardnpsmoodstavce"/>
    <w:link w:val="Nadpis1"/>
    <w:rsid w:val="005D73F3"/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D73F3"/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D73F3"/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D73F3"/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D73F3"/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D73F3"/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D73F3"/>
    <w:rPr>
      <w:rFonts w:ascii="Arial" w:eastAsia="Times New Roman" w:hAnsi="Arial" w:cs="Times New Roman"/>
      <w:i/>
      <w:snapToGrid w:val="0"/>
      <w:sz w:val="18"/>
      <w:szCs w:val="20"/>
      <w:lang w:eastAsia="cs-CZ"/>
    </w:rPr>
  </w:style>
  <w:style w:type="paragraph" w:customStyle="1" w:styleId="CM1">
    <w:name w:val="CM1"/>
    <w:basedOn w:val="Normln"/>
    <w:next w:val="Normln"/>
    <w:uiPriority w:val="99"/>
    <w:rsid w:val="005004C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cs-CZ"/>
    </w:rPr>
  </w:style>
  <w:style w:type="paragraph" w:customStyle="1" w:styleId="Default">
    <w:name w:val="Default"/>
    <w:rsid w:val="00C10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3367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Microsoft Office User</cp:lastModifiedBy>
  <cp:revision>2</cp:revision>
  <dcterms:created xsi:type="dcterms:W3CDTF">2023-08-07T14:26:00Z</dcterms:created>
  <dcterms:modified xsi:type="dcterms:W3CDTF">2023-08-07T14:26:00Z</dcterms:modified>
</cp:coreProperties>
</file>